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7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1" w:leftChars="0" w:right="3705" w:hanging="3701" w:hangingChars="974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一般工业固体废物流向汇总表（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2024年1月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3" w:right="3705"/>
        <w:jc w:val="left"/>
        <w:outlineLvl w:val="1"/>
        <w:rPr>
          <w:rFonts w:ascii="宋体" w:hAnsi="宋体" w:cs="宋体"/>
          <w:b w:val="0"/>
          <w:kern w:val="0"/>
          <w:sz w:val="38"/>
          <w:szCs w:val="38"/>
        </w:rPr>
      </w:pP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李佳庆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2024.1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93"/>
        <w:gridCol w:w="1120"/>
        <w:gridCol w:w="1771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580.46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580.46吨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14"/>
        <w:rPr>
          <w:rFonts w:ascii="Microsoft YaHei UI"/>
          <w:b/>
          <w:sz w:val="13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3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7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1" w:leftChars="0" w:right="3705" w:hanging="3701" w:hangingChars="974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一般工业固体废物流向汇总表（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2024年2月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）</w:t>
      </w: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left="3703" w:right="3705"/>
        <w:jc w:val="left"/>
        <w:outlineLvl w:val="1"/>
        <w:rPr>
          <w:rFonts w:ascii="宋体" w:hAnsi="宋体" w:cs="宋体"/>
          <w:b w:val="0"/>
          <w:kern w:val="0"/>
          <w:sz w:val="38"/>
          <w:szCs w:val="38"/>
        </w:rPr>
      </w:pPr>
    </w:p>
    <w:p>
      <w:pPr>
        <w:pStyle w:val="3"/>
        <w:tabs>
          <w:tab w:val="left" w:pos="6256"/>
          <w:tab w:val="left" w:pos="12760"/>
        </w:tabs>
        <w:ind w:left="0" w:leftChars="0" w:firstLine="240" w:firstLineChars="100"/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刘广立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2024.2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93"/>
        <w:gridCol w:w="1120"/>
        <w:gridCol w:w="1771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572.41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572.41吨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4"/>
        <w:spacing w:before="14"/>
        <w:rPr>
          <w:rFonts w:ascii="Microsoft YaHei UI"/>
          <w:b/>
          <w:sz w:val="13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4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right="3705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4"/>
        <w:spacing w:before="2"/>
        <w:rPr>
          <w:sz w:val="49"/>
        </w:rPr>
      </w:pPr>
    </w:p>
    <w:p>
      <w:pPr>
        <w:pStyle w:val="3"/>
        <w:tabs>
          <w:tab w:val="left" w:pos="6256"/>
          <w:tab w:val="left" w:pos="12760"/>
        </w:tabs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李佳庆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2024.3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779"/>
        <w:gridCol w:w="1102"/>
        <w:gridCol w:w="958"/>
        <w:gridCol w:w="849"/>
        <w:gridCol w:w="958"/>
        <w:gridCol w:w="1139"/>
        <w:gridCol w:w="1138"/>
        <w:gridCol w:w="1807"/>
        <w:gridCol w:w="880"/>
        <w:gridCol w:w="1085"/>
        <w:gridCol w:w="1085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3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代码</w:t>
            </w: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16"/>
              <w:rPr>
                <w:sz w:val="21"/>
              </w:rPr>
            </w:pPr>
            <w:r>
              <w:rPr>
                <w:spacing w:val="-33"/>
                <w:sz w:val="21"/>
              </w:rPr>
              <w:t>名称</w:t>
            </w:r>
          </w:p>
        </w:tc>
        <w:tc>
          <w:tcPr>
            <w:tcW w:w="11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类别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rPr>
                <w:sz w:val="21"/>
              </w:rPr>
            </w:pPr>
            <w:r>
              <w:rPr>
                <w:spacing w:val="-33"/>
                <w:sz w:val="21"/>
              </w:rPr>
              <w:t>产生量</w:t>
            </w:r>
          </w:p>
        </w:tc>
        <w:tc>
          <w:tcPr>
            <w:tcW w:w="8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4"/>
              <w:rPr>
                <w:sz w:val="21"/>
              </w:rPr>
            </w:pPr>
            <w:r>
              <w:rPr>
                <w:spacing w:val="-33"/>
                <w:sz w:val="21"/>
              </w:rPr>
              <w:t>贮存量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累计贮存量</w:t>
            </w:r>
          </w:p>
        </w:tc>
        <w:tc>
          <w:tcPr>
            <w:tcW w:w="11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1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方式</w:t>
            </w:r>
          </w:p>
        </w:tc>
        <w:tc>
          <w:tcPr>
            <w:tcW w:w="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401.45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401.45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35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r>
        <w:rPr>
          <w:sz w:val="21"/>
        </w:rPr>
        <w:t xml:space="preserve"> </w:t>
      </w:r>
    </w:p>
    <w:p>
      <w:pPr>
        <w:spacing w:after="0" w:line="240" w:lineRule="auto"/>
        <w:jc w:val="left"/>
        <w:rPr>
          <w:sz w:val="21"/>
        </w:rPr>
        <w:sectPr>
          <w:footerReference r:id="rId5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</w:p>
    <w:p>
      <w:pPr>
        <w:spacing w:before="56"/>
        <w:ind w:left="232" w:right="0" w:firstLine="0"/>
        <w:jc w:val="left"/>
        <w:rPr>
          <w:sz w:val="32"/>
        </w:rPr>
      </w:pPr>
      <w:r>
        <w:rPr>
          <w:spacing w:val="-25"/>
          <w:sz w:val="32"/>
        </w:rPr>
        <w:t xml:space="preserve">附表 </w:t>
      </w:r>
      <w:r>
        <w:rPr>
          <w:sz w:val="32"/>
        </w:rPr>
        <w:t>2</w:t>
      </w:r>
    </w:p>
    <w:p>
      <w:pPr>
        <w:pStyle w:val="4"/>
        <w:rPr>
          <w:sz w:val="20"/>
        </w:rPr>
      </w:pPr>
    </w:p>
    <w:p>
      <w:pPr>
        <w:pStyle w:val="2"/>
        <w:keepNext w:val="0"/>
        <w:keepLines w:val="0"/>
        <w:autoSpaceDE w:val="0"/>
        <w:autoSpaceDN w:val="0"/>
        <w:spacing w:before="125" w:beforeLines="-2147483648" w:beforeAutospacing="0" w:after="0" w:afterLines="-2147483648" w:afterAutospacing="0" w:line="240" w:lineRule="auto"/>
        <w:ind w:right="3705"/>
        <w:jc w:val="center"/>
        <w:outlineLvl w:val="1"/>
        <w:rPr>
          <w:rFonts w:ascii="宋体" w:hAnsi="宋体" w:cs="宋体"/>
          <w:b w:val="0"/>
          <w:kern w:val="0"/>
          <w:sz w:val="38"/>
          <w:szCs w:val="38"/>
        </w:rPr>
      </w:pP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 xml:space="preserve">一般工业固体废物流向汇总表（ 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年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kern w:val="0"/>
          <w:sz w:val="38"/>
          <w:szCs w:val="38"/>
        </w:rPr>
        <w:t>月）</w:t>
      </w:r>
    </w:p>
    <w:p>
      <w:pPr>
        <w:pStyle w:val="4"/>
        <w:spacing w:before="2"/>
        <w:rPr>
          <w:sz w:val="49"/>
        </w:rPr>
      </w:pPr>
    </w:p>
    <w:p>
      <w:pPr>
        <w:pStyle w:val="3"/>
        <w:tabs>
          <w:tab w:val="left" w:pos="6256"/>
          <w:tab w:val="left" w:pos="12760"/>
        </w:tabs>
        <w:rPr>
          <w:rFonts w:hint="default" w:eastAsia="Microsoft YaHei UI"/>
          <w:lang w:val="en-US" w:eastAsia="zh-CN"/>
        </w:rPr>
      </w:pPr>
      <w:r>
        <w:t>负责人签字：</w:t>
      </w:r>
      <w:r>
        <w:rPr>
          <w:rFonts w:hint="eastAsia"/>
          <w:lang w:val="en-US" w:eastAsia="zh-CN"/>
        </w:rPr>
        <w:t>李佳庆</w:t>
      </w:r>
      <w:r>
        <w:tab/>
      </w:r>
      <w:r>
        <w:t>填表人签字：</w:t>
      </w:r>
      <w:r>
        <w:rPr>
          <w:rFonts w:hint="eastAsia"/>
          <w:lang w:val="en-US" w:eastAsia="zh-CN"/>
        </w:rPr>
        <w:t>于菲</w:t>
      </w:r>
      <w:r>
        <w:tab/>
      </w:r>
      <w:r>
        <w:t>填表日期：</w:t>
      </w:r>
      <w:r>
        <w:rPr>
          <w:rFonts w:hint="eastAsia"/>
          <w:lang w:val="en-US" w:eastAsia="zh-CN"/>
        </w:rPr>
        <w:t>2024.4</w:t>
      </w:r>
    </w:p>
    <w:p>
      <w:pPr>
        <w:pStyle w:val="4"/>
        <w:spacing w:before="2"/>
        <w:rPr>
          <w:rFonts w:ascii="Microsoft YaHei UI"/>
          <w:b/>
          <w:sz w:val="6"/>
        </w:rPr>
      </w:pPr>
    </w:p>
    <w:tbl>
      <w:tblPr>
        <w:tblStyle w:val="5"/>
        <w:tblW w:w="0" w:type="auto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705"/>
        <w:gridCol w:w="1012"/>
        <w:gridCol w:w="940"/>
        <w:gridCol w:w="722"/>
        <w:gridCol w:w="1049"/>
        <w:gridCol w:w="1174"/>
        <w:gridCol w:w="1175"/>
        <w:gridCol w:w="2024"/>
        <w:gridCol w:w="958"/>
        <w:gridCol w:w="1084"/>
        <w:gridCol w:w="1098"/>
        <w:gridCol w:w="1085"/>
        <w:gridCol w:w="10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39"/>
              <w:rPr>
                <w:sz w:val="21"/>
              </w:rPr>
            </w:pPr>
            <w:r>
              <w:rPr>
                <w:spacing w:val="-33"/>
                <w:sz w:val="21"/>
              </w:rPr>
              <w:t>代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码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spacing w:val="-33"/>
                <w:sz w:val="21"/>
              </w:rPr>
              <w:t>名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称</w:t>
            </w:r>
          </w:p>
        </w:tc>
        <w:tc>
          <w:tcPr>
            <w:tcW w:w="10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384"/>
              <w:rPr>
                <w:sz w:val="21"/>
              </w:rPr>
            </w:pPr>
            <w:r>
              <w:rPr>
                <w:spacing w:val="-33"/>
                <w:sz w:val="21"/>
              </w:rPr>
              <w:t>类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别</w:t>
            </w: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29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产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生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jc w:val="both"/>
              <w:rPr>
                <w:sz w:val="21"/>
              </w:rPr>
            </w:pPr>
            <w:r>
              <w:rPr>
                <w:spacing w:val="-33"/>
                <w:sz w:val="21"/>
              </w:rPr>
              <w:t>贮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存</w:t>
            </w:r>
            <w:r>
              <w:rPr>
                <w:rFonts w:hint="eastAsia"/>
                <w:spacing w:val="-33"/>
                <w:sz w:val="21"/>
                <w:lang w:val="en-US" w:eastAsia="zh-CN"/>
              </w:rPr>
              <w:t xml:space="preserve">  </w:t>
            </w:r>
            <w:r>
              <w:rPr>
                <w:spacing w:val="-33"/>
                <w:sz w:val="21"/>
              </w:rPr>
              <w:t>量</w:t>
            </w:r>
          </w:p>
        </w:tc>
        <w:tc>
          <w:tcPr>
            <w:tcW w:w="104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Microsoft YaHei UI"/>
                <w:b/>
                <w:sz w:val="15"/>
              </w:rPr>
            </w:pPr>
          </w:p>
          <w:p>
            <w:pPr>
              <w:pStyle w:val="8"/>
              <w:ind w:left="122"/>
              <w:rPr>
                <w:sz w:val="21"/>
              </w:rPr>
            </w:pPr>
            <w:r>
              <w:rPr>
                <w:spacing w:val="-34"/>
                <w:sz w:val="21"/>
              </w:rPr>
              <w:t>累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计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贮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存</w:t>
            </w:r>
            <w:r>
              <w:rPr>
                <w:rFonts w:hint="eastAsia"/>
                <w:spacing w:val="-34"/>
                <w:sz w:val="21"/>
                <w:lang w:val="en-US" w:eastAsia="zh-CN"/>
              </w:rPr>
              <w:t xml:space="preserve"> </w:t>
            </w:r>
            <w:r>
              <w:rPr>
                <w:spacing w:val="-34"/>
                <w:sz w:val="21"/>
              </w:rPr>
              <w:t>量</w:t>
            </w:r>
          </w:p>
        </w:tc>
        <w:tc>
          <w:tcPr>
            <w:tcW w:w="11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7" w:right="109" w:hanging="212"/>
              <w:rPr>
                <w:sz w:val="21"/>
              </w:rPr>
            </w:pPr>
            <w:r>
              <w:rPr>
                <w:sz w:val="21"/>
              </w:rPr>
              <w:t>自行利用方式</w:t>
            </w:r>
          </w:p>
        </w:tc>
        <w:tc>
          <w:tcPr>
            <w:tcW w:w="11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58" w:right="114" w:hanging="212"/>
              <w:rPr>
                <w:sz w:val="21"/>
              </w:rPr>
            </w:pPr>
            <w:r>
              <w:rPr>
                <w:sz w:val="21"/>
              </w:rPr>
              <w:t>自行利用数量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15" w:right="108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托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pacing w:val="-38"/>
                <w:sz w:val="21"/>
              </w:rPr>
              <w:t>利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 </w:t>
            </w:r>
            <w:r>
              <w:rPr>
                <w:spacing w:val="-38"/>
                <w:sz w:val="21"/>
              </w:rPr>
              <w:t>用</w:t>
            </w:r>
            <w:r>
              <w:rPr>
                <w:rFonts w:hint="eastAsia"/>
                <w:spacing w:val="-38"/>
                <w:sz w:val="21"/>
                <w:lang w:val="en-US" w:eastAsia="zh-CN"/>
              </w:rPr>
              <w:t xml:space="preserve">  </w:t>
            </w:r>
            <w:r>
              <w:rPr>
                <w:sz w:val="21"/>
              </w:rPr>
              <w:t>方式</w:t>
            </w:r>
          </w:p>
        </w:tc>
        <w:tc>
          <w:tcPr>
            <w:tcW w:w="9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21" w:right="113" w:hanging="178"/>
              <w:rPr>
                <w:sz w:val="21"/>
              </w:rPr>
            </w:pPr>
            <w:r>
              <w:rPr>
                <w:spacing w:val="-38"/>
                <w:sz w:val="21"/>
              </w:rPr>
              <w:t>委托利用</w:t>
            </w:r>
            <w:r>
              <w:rPr>
                <w:sz w:val="21"/>
              </w:rPr>
              <w:t>数量</w:t>
            </w:r>
          </w:p>
        </w:tc>
        <w:tc>
          <w:tcPr>
            <w:tcW w:w="10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0" w:right="99" w:hanging="212"/>
              <w:rPr>
                <w:sz w:val="21"/>
              </w:rPr>
            </w:pPr>
            <w:r>
              <w:rPr>
                <w:sz w:val="21"/>
              </w:rPr>
              <w:t>自行处置方式</w:t>
            </w:r>
          </w:p>
        </w:tc>
        <w:tc>
          <w:tcPr>
            <w:tcW w:w="10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44" w:right="94" w:hanging="212"/>
              <w:rPr>
                <w:sz w:val="21"/>
              </w:rPr>
            </w:pPr>
            <w:r>
              <w:rPr>
                <w:sz w:val="21"/>
              </w:rPr>
              <w:t>自行处置数量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8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方式</w:t>
            </w: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11" w:line="278" w:lineRule="auto"/>
              <w:ind w:left="373" w:right="123" w:hanging="212"/>
              <w:rPr>
                <w:sz w:val="21"/>
              </w:rPr>
            </w:pPr>
            <w:r>
              <w:rPr>
                <w:spacing w:val="-16"/>
                <w:sz w:val="21"/>
              </w:rPr>
              <w:t>委托处置</w:t>
            </w: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一般工业固体废物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638.59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沧州冀材环保科技有限公司（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638.59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7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72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eastAsia="宋体" w:cs="Segoe UI Black"/>
                <w:sz w:val="21"/>
                <w:szCs w:val="21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 w:ascii="Segoe UI Black" w:hAnsi="Segoe UI Black" w:cs="Segoe UI Black"/>
                <w:sz w:val="21"/>
                <w:szCs w:val="21"/>
              </w:rPr>
            </w:pPr>
          </w:p>
        </w:tc>
      </w:tr>
    </w:tbl>
    <w:p>
      <w:pPr>
        <w:pStyle w:val="4"/>
        <w:spacing w:before="14"/>
        <w:rPr>
          <w:rFonts w:hint="default" w:ascii="Segoe UI Black" w:hAnsi="Segoe UI Black" w:cs="Segoe UI Black"/>
          <w:b/>
          <w:sz w:val="21"/>
          <w:szCs w:val="21"/>
        </w:rPr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</w:p>
    <w:p>
      <w:pPr>
        <w:pStyle w:val="4"/>
        <w:ind w:left="232"/>
      </w:pPr>
      <w:r>
        <w:t xml:space="preserve">注：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63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1.</w:t>
      </w:r>
      <w:r>
        <w:rPr>
          <w:spacing w:val="-1"/>
          <w:sz w:val="21"/>
        </w:rPr>
        <w:t>产生量、贮存量、利用量、处置量：均为填表期间内的实际发生数量。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2.</w:t>
      </w:r>
      <w:r>
        <w:rPr>
          <w:spacing w:val="-1"/>
          <w:sz w:val="21"/>
        </w:rPr>
        <w:t>累计贮存量：截止到填表当月月底，累计实际贮存总量，包括本指南实施之前发生的贮存量。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3.</w:t>
      </w:r>
      <w:r>
        <w:rPr>
          <w:spacing w:val="-1"/>
          <w:sz w:val="21"/>
        </w:rPr>
        <w:t>自行/委托利用方式：根据实际情况。简要描述利用技术路线和利用产物。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7" w:after="0" w:line="240" w:lineRule="auto"/>
        <w:ind w:left="210" w:leftChars="0" w:right="0" w:rightChars="0"/>
        <w:jc w:val="left"/>
        <w:rPr>
          <w:sz w:val="21"/>
        </w:rPr>
      </w:pPr>
      <w:r>
        <w:rPr>
          <w:rFonts w:hint="eastAsia"/>
          <w:spacing w:val="-1"/>
          <w:sz w:val="21"/>
          <w:lang w:val="en-US" w:eastAsia="zh-CN"/>
        </w:rPr>
        <w:t>4.</w:t>
      </w:r>
      <w:r>
        <w:rPr>
          <w:spacing w:val="-1"/>
          <w:sz w:val="21"/>
        </w:rPr>
        <w:t>自行/委托处置方式：根据实际情况，选择焚烧、填埋、其他处置方式。</w:t>
      </w:r>
      <w:r>
        <w:rPr>
          <w:sz w:val="21"/>
        </w:rPr>
        <w:t xml:space="preserve"> </w:t>
      </w:r>
    </w:p>
    <w:p>
      <w:pPr>
        <w:pStyle w:val="9"/>
        <w:numPr>
          <w:ilvl w:val="0"/>
          <w:numId w:val="0"/>
        </w:numPr>
        <w:tabs>
          <w:tab w:val="left" w:pos="445"/>
        </w:tabs>
        <w:spacing w:before="58" w:after="0" w:line="240" w:lineRule="auto"/>
        <w:ind w:left="210" w:leftChars="0" w:right="0" w:rightChars="0"/>
        <w:jc w:val="left"/>
        <w:rPr>
          <w:sz w:val="21"/>
        </w:rPr>
        <w:sectPr>
          <w:footerReference r:id="rId6" w:type="default"/>
          <w:pgSz w:w="16840" w:h="11910" w:orient="landscape"/>
          <w:pgMar w:top="1100" w:right="900" w:bottom="1580" w:left="900" w:header="0" w:footer="1383" w:gutter="0"/>
          <w:cols w:space="720" w:num="1"/>
        </w:sectPr>
      </w:pPr>
      <w:r>
        <w:rPr>
          <w:rFonts w:hint="eastAsia"/>
          <w:spacing w:val="-1"/>
          <w:sz w:val="21"/>
          <w:lang w:val="en-US" w:eastAsia="zh-CN"/>
        </w:rPr>
        <w:t>5.</w:t>
      </w:r>
      <w:r>
        <w:rPr>
          <w:spacing w:val="-1"/>
          <w:sz w:val="21"/>
        </w:rPr>
        <w:t>利用/处置数量：原则上应以“吨”为单位计量，如以其他单位计量则应说明计量单位，并通过估算换算成以“吨”计量。</w:t>
      </w:r>
      <w:bookmarkStart w:id="0" w:name="_GoBack"/>
      <w:bookmarkEnd w:id="0"/>
    </w:p>
    <w:p/>
    <w:sectPr>
      <w:footerReference r:id="rId7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PWmPDy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OJrCN2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NPjG/q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6rXxjZAAAADQEAAA8AAAAAAAAAAQAgAAAAIgAAAGRycy9kb3ducmV2LnhtbFBLAQIU&#10;ABQAAAAIAIdO4kAmEjJZ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4986020</wp:posOffset>
              </wp:positionH>
              <wp:positionV relativeFrom="page">
                <wp:posOffset>6540500</wp:posOffset>
              </wp:positionV>
              <wp:extent cx="755650" cy="2025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6pt;margin-top:515pt;height:15.95pt;width:59.5pt;mso-position-horizontal-relative:page;mso-position-vertical-relative:page;z-index:-251657216;mso-width-relative:page;mso-height-relative:page;" filled="f" stroked="f" coordsize="21600,21600" o:gfxdata="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qtfGNkAAAANAQAADwAAAAAAAAABACAAAAAiAAAAZHJzL2Rvd25yZXYueG1sUEsBAhQA&#10;FAAAAAgAh07iQKuyNwK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60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70"/>
                        <w:sz w:val="26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mRlMjYyZTA0ODRlMDhhODk2NThjM2JkNDVmNmEifQ=="/>
  </w:docVars>
  <w:rsids>
    <w:rsidRoot w:val="00000000"/>
    <w:rsid w:val="009B46FB"/>
    <w:rsid w:val="07F56C99"/>
    <w:rsid w:val="084C3E04"/>
    <w:rsid w:val="08614112"/>
    <w:rsid w:val="09FC2293"/>
    <w:rsid w:val="0AF278CE"/>
    <w:rsid w:val="0C886DB7"/>
    <w:rsid w:val="0CD93263"/>
    <w:rsid w:val="0FC05CE8"/>
    <w:rsid w:val="102E38C6"/>
    <w:rsid w:val="105D43FE"/>
    <w:rsid w:val="11064291"/>
    <w:rsid w:val="11D46622"/>
    <w:rsid w:val="12AD162D"/>
    <w:rsid w:val="12F246D7"/>
    <w:rsid w:val="14756D64"/>
    <w:rsid w:val="1F0B2F42"/>
    <w:rsid w:val="24B95987"/>
    <w:rsid w:val="24CB4C5F"/>
    <w:rsid w:val="28953ED7"/>
    <w:rsid w:val="290B782A"/>
    <w:rsid w:val="29503585"/>
    <w:rsid w:val="2AFD2E26"/>
    <w:rsid w:val="2D9276C3"/>
    <w:rsid w:val="2DBB4F30"/>
    <w:rsid w:val="2F433D54"/>
    <w:rsid w:val="31FC5379"/>
    <w:rsid w:val="33D46CD0"/>
    <w:rsid w:val="35A8557F"/>
    <w:rsid w:val="38185273"/>
    <w:rsid w:val="408F1411"/>
    <w:rsid w:val="487003FA"/>
    <w:rsid w:val="48772C88"/>
    <w:rsid w:val="4A2E3F20"/>
    <w:rsid w:val="4BE23A2A"/>
    <w:rsid w:val="4F9F5608"/>
    <w:rsid w:val="4FC32190"/>
    <w:rsid w:val="54337189"/>
    <w:rsid w:val="54980C2E"/>
    <w:rsid w:val="5A90204D"/>
    <w:rsid w:val="5B220739"/>
    <w:rsid w:val="5B2551F3"/>
    <w:rsid w:val="5BB83500"/>
    <w:rsid w:val="5C964C00"/>
    <w:rsid w:val="5D00756B"/>
    <w:rsid w:val="5D437105"/>
    <w:rsid w:val="62876F8F"/>
    <w:rsid w:val="685B2B0A"/>
    <w:rsid w:val="690B5156"/>
    <w:rsid w:val="703D127B"/>
    <w:rsid w:val="7816142F"/>
    <w:rsid w:val="787E1A12"/>
    <w:rsid w:val="7C017364"/>
    <w:rsid w:val="7D82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20" w:beforeLines="0" w:beforeAutospacing="0" w:after="120" w:afterLines="0" w:afterAutospacing="0"/>
      <w:outlineLvl w:val="0"/>
    </w:pPr>
    <w:rPr>
      <w:rFonts w:eastAsia="宋体"/>
      <w:b/>
      <w:kern w:val="44"/>
      <w:sz w:val="24"/>
      <w:lang w:val="en-US" w:eastAsia="zh-CN"/>
    </w:rPr>
  </w:style>
  <w:style w:type="paragraph" w:styleId="3">
    <w:name w:val="heading 2"/>
    <w:basedOn w:val="1"/>
    <w:next w:val="1"/>
    <w:autoRedefine/>
    <w:qFormat/>
    <w:uiPriority w:val="1"/>
    <w:pPr>
      <w:ind w:left="232"/>
      <w:outlineLvl w:val="2"/>
    </w:pPr>
    <w:rPr>
      <w:rFonts w:ascii="Microsoft YaHei UI" w:hAnsi="Microsoft YaHei UI" w:eastAsia="Microsoft YaHei UI" w:cs="Microsoft YaHei UI"/>
      <w:b/>
      <w:bCs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  <w:style w:type="paragraph" w:styleId="9">
    <w:name w:val="List Paragraph"/>
    <w:basedOn w:val="1"/>
    <w:autoRedefine/>
    <w:qFormat/>
    <w:uiPriority w:val="1"/>
    <w:pPr>
      <w:spacing w:before="57"/>
      <w:ind w:left="445" w:hanging="21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4167</Words>
  <Characters>4473</Characters>
  <Lines>0</Lines>
  <Paragraphs>0</Paragraphs>
  <TotalTime>3</TotalTime>
  <ScaleCrop>false</ScaleCrop>
  <LinksUpToDate>false</LinksUpToDate>
  <CharactersWithSpaces>5066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2022-04-30T01:46:00Z</dcterms:created>
  <dc:creator>Administrator</dc:creator>
  <cp:lastModifiedBy>Administrator</cp:lastModifiedBy>
  <cp:lastPrinted>2024-05-06T02:54:00Z</cp:lastPrinted>
  <dcterms:modified xsi:type="dcterms:W3CDTF">2024-05-21T06:37:57Z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02BF6D82FB874DC1AA653C297A8AB608</vt:lpwstr>
  </property>
</Properties>
</file>