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both"/>
        <w:rPr>
          <w:rFonts w:hint="eastAsia" w:ascii="宋体" w:hAnsi="宋体"/>
          <w:sz w:val="28"/>
          <w:szCs w:val="28"/>
          <w:lang w:val="en-US" w:eastAsia="zh-CN"/>
        </w:rPr>
      </w:pPr>
      <w:r>
        <w:rPr>
          <w:rFonts w:hint="eastAsia" w:ascii="宋体" w:hAnsi="宋体"/>
          <w:sz w:val="28"/>
          <w:szCs w:val="28"/>
          <w:lang w:val="en-US" w:eastAsia="zh-CN"/>
        </w:rPr>
        <w:t xml:space="preserve"> 沧州临港污水处理及中水回用项目投加装置竞争性谈判技术文件</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一．项目名称:沧州临港污水处理及中水回用项目</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 建设单位:沧州绿源水处理有限公司</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 建设地点:沧州临港经济技术开发区东区</w:t>
      </w:r>
    </w:p>
    <w:p>
      <w:pPr>
        <w:spacing w:line="360" w:lineRule="auto"/>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 建设规模：</w:t>
      </w:r>
      <w:r>
        <w:rPr>
          <w:rFonts w:hint="eastAsia" w:ascii="仿宋" w:hAnsi="仿宋" w:eastAsia="仿宋" w:cs="仿宋"/>
          <w:sz w:val="24"/>
          <w:szCs w:val="24"/>
        </w:rPr>
        <w:t>工程占地约</w:t>
      </w:r>
      <w:r>
        <w:rPr>
          <w:rFonts w:hint="eastAsia" w:ascii="仿宋" w:hAnsi="仿宋" w:eastAsia="仿宋" w:cs="仿宋"/>
          <w:sz w:val="24"/>
          <w:szCs w:val="24"/>
          <w:lang w:val="en-US" w:eastAsia="zh-CN"/>
        </w:rPr>
        <w:t>75亩。</w:t>
      </w:r>
    </w:p>
    <w:p>
      <w:pPr>
        <w:numPr>
          <w:ilvl w:val="0"/>
          <w:numId w:val="0"/>
        </w:numPr>
        <w:spacing w:line="360" w:lineRule="auto"/>
        <w:rPr>
          <w:rFonts w:hint="eastAsia"/>
          <w:lang w:val="en-US" w:eastAsia="zh-CN"/>
        </w:rPr>
      </w:pPr>
      <w:r>
        <w:rPr>
          <w:rFonts w:hint="eastAsia" w:ascii="仿宋" w:hAnsi="仿宋" w:eastAsia="仿宋" w:cs="仿宋"/>
          <w:sz w:val="24"/>
          <w:szCs w:val="24"/>
          <w:lang w:val="en-US" w:eastAsia="zh-CN"/>
        </w:rPr>
        <w:t>五． 招标内容：投加装置类</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六．具体招标范围</w:t>
      </w:r>
    </w:p>
    <w:p>
      <w:pPr>
        <w:numPr>
          <w:ilvl w:val="0"/>
          <w:numId w:val="0"/>
        </w:num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设备一览表</w:t>
      </w:r>
    </w:p>
    <w:tbl>
      <w:tblPr>
        <w:tblStyle w:val="4"/>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2330"/>
        <w:gridCol w:w="1312"/>
        <w:gridCol w:w="1549"/>
        <w:gridCol w:w="1344"/>
        <w:gridCol w:w="793"/>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597" w:type="dxa"/>
          </w:tcPr>
          <w:p>
            <w:pPr>
              <w:numPr>
                <w:ilvl w:val="0"/>
                <w:numId w:val="0"/>
              </w:numPr>
              <w:spacing w:line="240" w:lineRule="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2330"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名称</w:t>
            </w:r>
          </w:p>
        </w:tc>
        <w:tc>
          <w:tcPr>
            <w:tcW w:w="1312" w:type="dxa"/>
            <w:vAlign w:val="center"/>
          </w:tcPr>
          <w:p>
            <w:pPr>
              <w:numPr>
                <w:ilvl w:val="0"/>
                <w:numId w:val="0"/>
              </w:numPr>
              <w:spacing w:line="240" w:lineRule="auto"/>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介质及参数</w:t>
            </w:r>
          </w:p>
        </w:tc>
        <w:tc>
          <w:tcPr>
            <w:tcW w:w="1549" w:type="dxa"/>
            <w:vAlign w:val="center"/>
          </w:tcPr>
          <w:p>
            <w:pPr>
              <w:numPr>
                <w:ilvl w:val="0"/>
                <w:numId w:val="0"/>
              </w:numPr>
              <w:spacing w:line="240" w:lineRule="auto"/>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投药量（总量）</w:t>
            </w:r>
          </w:p>
        </w:tc>
        <w:tc>
          <w:tcPr>
            <w:tcW w:w="1344" w:type="dxa"/>
            <w:vAlign w:val="center"/>
          </w:tcPr>
          <w:p>
            <w:pPr>
              <w:numPr>
                <w:ilvl w:val="0"/>
                <w:numId w:val="0"/>
              </w:numPr>
              <w:spacing w:line="240" w:lineRule="auto"/>
              <w:ind w:left="210" w:hanging="210" w:hangingChars="10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安装方式</w:t>
            </w:r>
          </w:p>
        </w:tc>
        <w:tc>
          <w:tcPr>
            <w:tcW w:w="793"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配用功率</w:t>
            </w:r>
          </w:p>
        </w:tc>
        <w:tc>
          <w:tcPr>
            <w:tcW w:w="814"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597"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330" w:type="dxa"/>
            <w:vAlign w:val="center"/>
          </w:tcPr>
          <w:p>
            <w:pPr>
              <w:numPr>
                <w:ilvl w:val="0"/>
                <w:numId w:val="0"/>
              </w:numPr>
              <w:spacing w:line="240" w:lineRule="auto"/>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次氯酸钠消毒剂投加装置</w:t>
            </w:r>
          </w:p>
        </w:tc>
        <w:tc>
          <w:tcPr>
            <w:tcW w:w="1312" w:type="dxa"/>
            <w:vAlign w:val="center"/>
          </w:tcPr>
          <w:p>
            <w:pPr>
              <w:numPr>
                <w:ilvl w:val="0"/>
                <w:numId w:val="0"/>
              </w:numPr>
              <w:spacing w:line="240" w:lineRule="auto"/>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次氯酸钠</w:t>
            </w:r>
          </w:p>
        </w:tc>
        <w:tc>
          <w:tcPr>
            <w:tcW w:w="1549"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Q=160</w:t>
            </w:r>
            <w:bookmarkStart w:id="0" w:name="_GoBack"/>
            <w:bookmarkEnd w:id="0"/>
            <w:r>
              <w:rPr>
                <w:rFonts w:hint="eastAsia" w:ascii="仿宋" w:hAnsi="仿宋" w:eastAsia="仿宋" w:cs="仿宋"/>
                <w:sz w:val="21"/>
                <w:szCs w:val="21"/>
                <w:vertAlign w:val="baseline"/>
                <w:lang w:val="en-US" w:eastAsia="zh-CN"/>
              </w:rPr>
              <w:t>L/h</w:t>
            </w:r>
          </w:p>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H=20米</w:t>
            </w:r>
          </w:p>
        </w:tc>
        <w:tc>
          <w:tcPr>
            <w:tcW w:w="1344"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p>
        </w:tc>
        <w:tc>
          <w:tcPr>
            <w:tcW w:w="793"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p>
        </w:tc>
        <w:tc>
          <w:tcPr>
            <w:tcW w:w="814"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597" w:type="dxa"/>
            <w:vAlign w:val="center"/>
          </w:tcPr>
          <w:p>
            <w:pPr>
              <w:numPr>
                <w:ilvl w:val="0"/>
                <w:numId w:val="0"/>
              </w:num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330" w:type="dxa"/>
            <w:vAlign w:val="center"/>
          </w:tcPr>
          <w:p>
            <w:pPr>
              <w:numPr>
                <w:ilvl w:val="0"/>
                <w:numId w:val="0"/>
              </w:num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PAC加药装置</w:t>
            </w:r>
          </w:p>
        </w:tc>
        <w:tc>
          <w:tcPr>
            <w:tcW w:w="1312" w:type="dxa"/>
            <w:vAlign w:val="center"/>
          </w:tcPr>
          <w:p>
            <w:pPr>
              <w:numPr>
                <w:ilvl w:val="0"/>
                <w:numId w:val="0"/>
              </w:numPr>
              <w:spacing w:line="240" w:lineRule="auto"/>
              <w:ind w:left="0" w:leftChars="0" w:firstLine="0" w:firstLineChars="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液体PAC</w:t>
            </w:r>
          </w:p>
        </w:tc>
        <w:tc>
          <w:tcPr>
            <w:tcW w:w="1549"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Q=375L/h</w:t>
            </w:r>
          </w:p>
          <w:p>
            <w:pPr>
              <w:numPr>
                <w:ilvl w:val="0"/>
                <w:numId w:val="0"/>
              </w:num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1"/>
                <w:szCs w:val="21"/>
                <w:vertAlign w:val="baseline"/>
                <w:lang w:val="en-US" w:eastAsia="zh-CN"/>
              </w:rPr>
              <w:t>H=60米</w:t>
            </w:r>
          </w:p>
        </w:tc>
        <w:tc>
          <w:tcPr>
            <w:tcW w:w="1344" w:type="dxa"/>
            <w:vAlign w:val="center"/>
          </w:tcPr>
          <w:p>
            <w:pPr>
              <w:numPr>
                <w:ilvl w:val="0"/>
                <w:numId w:val="0"/>
              </w:numPr>
              <w:spacing w:line="240" w:lineRule="auto"/>
              <w:ind w:left="0" w:leftChars="0" w:firstLine="0" w:firstLineChars="0"/>
              <w:jc w:val="center"/>
              <w:rPr>
                <w:rFonts w:hint="eastAsia" w:ascii="仿宋" w:hAnsi="仿宋" w:eastAsia="仿宋" w:cs="仿宋"/>
                <w:sz w:val="24"/>
                <w:szCs w:val="24"/>
                <w:vertAlign w:val="baseline"/>
                <w:lang w:val="en-US" w:eastAsia="zh-CN"/>
              </w:rPr>
            </w:pPr>
          </w:p>
        </w:tc>
        <w:tc>
          <w:tcPr>
            <w:tcW w:w="793" w:type="dxa"/>
            <w:vAlign w:val="center"/>
          </w:tcPr>
          <w:p>
            <w:pPr>
              <w:numPr>
                <w:ilvl w:val="0"/>
                <w:numId w:val="0"/>
              </w:numPr>
              <w:spacing w:line="240" w:lineRule="auto"/>
              <w:jc w:val="center"/>
              <w:rPr>
                <w:rFonts w:hint="eastAsia" w:ascii="仿宋" w:hAnsi="仿宋" w:eastAsia="仿宋" w:cs="仿宋"/>
                <w:sz w:val="24"/>
                <w:szCs w:val="24"/>
                <w:vertAlign w:val="baseline"/>
                <w:lang w:val="en-US" w:eastAsia="zh-CN"/>
              </w:rPr>
            </w:pPr>
          </w:p>
        </w:tc>
        <w:tc>
          <w:tcPr>
            <w:tcW w:w="814" w:type="dxa"/>
            <w:vAlign w:val="center"/>
          </w:tcPr>
          <w:p>
            <w:pPr>
              <w:numPr>
                <w:ilvl w:val="0"/>
                <w:numId w:val="0"/>
              </w:num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7" w:type="dxa"/>
            <w:vAlign w:val="center"/>
          </w:tcPr>
          <w:p>
            <w:pPr>
              <w:numPr>
                <w:ilvl w:val="0"/>
                <w:numId w:val="0"/>
              </w:num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330" w:type="dxa"/>
            <w:vAlign w:val="center"/>
          </w:tcPr>
          <w:p>
            <w:pPr>
              <w:numPr>
                <w:ilvl w:val="0"/>
                <w:numId w:val="0"/>
              </w:numPr>
              <w:spacing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甲醇抽回装置</w:t>
            </w:r>
          </w:p>
        </w:tc>
        <w:tc>
          <w:tcPr>
            <w:tcW w:w="1312" w:type="dxa"/>
            <w:vAlign w:val="center"/>
          </w:tcPr>
          <w:p>
            <w:pPr>
              <w:numPr>
                <w:ilvl w:val="0"/>
                <w:numId w:val="0"/>
              </w:numPr>
              <w:spacing w:line="240" w:lineRule="auto"/>
              <w:ind w:left="0" w:leftChars="0" w:firstLine="0" w:firstLineChars="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工业甲醇</w:t>
            </w:r>
          </w:p>
        </w:tc>
        <w:tc>
          <w:tcPr>
            <w:tcW w:w="1549"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Q=700L/h</w:t>
            </w:r>
          </w:p>
          <w:p>
            <w:pPr>
              <w:numPr>
                <w:ilvl w:val="0"/>
                <w:numId w:val="0"/>
              </w:numPr>
              <w:spacing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1"/>
                <w:szCs w:val="21"/>
                <w:vertAlign w:val="baseline"/>
                <w:lang w:val="en-US" w:eastAsia="zh-CN"/>
              </w:rPr>
              <w:t>H=60米</w:t>
            </w:r>
          </w:p>
        </w:tc>
        <w:tc>
          <w:tcPr>
            <w:tcW w:w="1344" w:type="dxa"/>
            <w:vAlign w:val="center"/>
          </w:tcPr>
          <w:p>
            <w:pPr>
              <w:numPr>
                <w:ilvl w:val="0"/>
                <w:numId w:val="0"/>
              </w:numPr>
              <w:spacing w:line="240" w:lineRule="auto"/>
              <w:jc w:val="center"/>
              <w:rPr>
                <w:rFonts w:hint="eastAsia" w:ascii="仿宋" w:hAnsi="仿宋" w:eastAsia="仿宋" w:cs="仿宋"/>
                <w:sz w:val="24"/>
                <w:szCs w:val="24"/>
                <w:vertAlign w:val="baseline"/>
                <w:lang w:val="en-US" w:eastAsia="zh-CN"/>
              </w:rPr>
            </w:pPr>
          </w:p>
        </w:tc>
        <w:tc>
          <w:tcPr>
            <w:tcW w:w="793" w:type="dxa"/>
            <w:vAlign w:val="center"/>
          </w:tcPr>
          <w:p>
            <w:pPr>
              <w:numPr>
                <w:ilvl w:val="0"/>
                <w:numId w:val="0"/>
              </w:numPr>
              <w:spacing w:line="240" w:lineRule="auto"/>
              <w:ind w:left="0" w:leftChars="0" w:firstLine="0" w:firstLineChars="0"/>
              <w:jc w:val="center"/>
              <w:rPr>
                <w:rFonts w:hint="eastAsia" w:ascii="仿宋" w:hAnsi="仿宋" w:eastAsia="仿宋" w:cs="仿宋"/>
                <w:sz w:val="24"/>
                <w:szCs w:val="24"/>
                <w:vertAlign w:val="baseline"/>
                <w:lang w:val="en-US" w:eastAsia="zh-CN"/>
              </w:rPr>
            </w:pPr>
          </w:p>
        </w:tc>
        <w:tc>
          <w:tcPr>
            <w:tcW w:w="814" w:type="dxa"/>
            <w:vAlign w:val="center"/>
          </w:tcPr>
          <w:p>
            <w:pPr>
              <w:numPr>
                <w:ilvl w:val="0"/>
                <w:numId w:val="0"/>
              </w:num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r>
    </w:tbl>
    <w:p>
      <w:pPr>
        <w:numPr>
          <w:ilvl w:val="0"/>
          <w:numId w:val="1"/>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详细技术参数要求：</w:t>
      </w:r>
    </w:p>
    <w:p>
      <w:pPr>
        <w:numPr>
          <w:ilvl w:val="0"/>
          <w:numId w:val="0"/>
        </w:numPr>
        <w:spacing w:line="360" w:lineRule="auto"/>
        <w:ind w:firstLine="480"/>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1.序号1为整套供应设备含立式PE罐，V=10m</w:t>
      </w:r>
      <w:r>
        <w:rPr>
          <w:rFonts w:hint="eastAsia" w:ascii="仿宋" w:hAnsi="仿宋" w:eastAsia="仿宋" w:cs="仿宋"/>
          <w:sz w:val="24"/>
          <w:szCs w:val="24"/>
          <w:vertAlign w:val="superscript"/>
          <w:lang w:val="en-US" w:eastAsia="zh-CN"/>
        </w:rPr>
        <w:t xml:space="preserve">3  </w:t>
      </w:r>
      <w:r>
        <w:rPr>
          <w:rFonts w:hint="eastAsia" w:ascii="仿宋" w:hAnsi="仿宋" w:eastAsia="仿宋" w:cs="仿宋"/>
          <w:sz w:val="24"/>
          <w:szCs w:val="24"/>
          <w:vertAlign w:val="baseline"/>
          <w:lang w:val="en-US" w:eastAsia="zh-CN"/>
        </w:rPr>
        <w:t>2个，次氯酸钠隔膜计量泵4台（3用1备配套阻尼器），在线稀释装置及加药装置内配套管线、阀门及各配件的安装联接。</w:t>
      </w:r>
    </w:p>
    <w:p>
      <w:pPr>
        <w:numPr>
          <w:ilvl w:val="0"/>
          <w:numId w:val="0"/>
        </w:numPr>
        <w:spacing w:line="360" w:lineRule="auto"/>
        <w:ind w:firstLine="48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2.序号2中PAC为液体PAC,为整套供应设备（不含PAC储罐）PAC加药泵4台(3用1备）及配套过滤器、阻尼器、安全阀、背压阀，在线稀释装置、配套管线、阀门及各配件的安装联接。</w:t>
      </w:r>
    </w:p>
    <w:p>
      <w:pPr>
        <w:numPr>
          <w:ilvl w:val="0"/>
          <w:numId w:val="0"/>
        </w:numPr>
        <w:spacing w:line="360" w:lineRule="auto"/>
        <w:ind w:firstLine="48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r>
        <w:rPr>
          <w:rFonts w:hint="eastAsia" w:ascii="仿宋" w:hAnsi="仿宋" w:eastAsia="仿宋" w:cs="仿宋"/>
          <w:sz w:val="24"/>
          <w:szCs w:val="24"/>
          <w:lang w:val="en-US" w:eastAsia="zh-CN"/>
        </w:rPr>
        <w:t>序号3为整套供应设备（不含甲醇储罐）</w:t>
      </w:r>
      <w:r>
        <w:rPr>
          <w:rFonts w:hint="eastAsia" w:ascii="仿宋" w:hAnsi="仿宋" w:eastAsia="仿宋" w:cs="仿宋"/>
          <w:sz w:val="24"/>
          <w:szCs w:val="24"/>
          <w:vertAlign w:val="baseline"/>
          <w:lang w:val="en-US" w:eastAsia="zh-CN"/>
        </w:rPr>
        <w:t>，甲醇加药泵4台（3用1备）及及配套过滤器、阻尼器、安全阀、背压阀，在线稀释装置、配套管线、阀门及各配件的安装联接。</w:t>
      </w:r>
    </w:p>
    <w:p>
      <w:pPr>
        <w:numPr>
          <w:ilvl w:val="0"/>
          <w:numId w:val="0"/>
        </w:numPr>
        <w:spacing w:line="36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4.以上各加药装置标注各配套设备的厂家品牌及主要部位材质。</w:t>
      </w:r>
    </w:p>
    <w:p>
      <w:pPr>
        <w:numPr>
          <w:ilvl w:val="0"/>
          <w:numId w:val="2"/>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供货方需在合同签订七日内为采购方提供设备外形尺寸图、安装图、基础图。</w:t>
      </w:r>
    </w:p>
    <w:p>
      <w:pPr>
        <w:numPr>
          <w:ilvl w:val="0"/>
          <w:numId w:val="2"/>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乙方需安排专人进行现场指导安装。</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八．对投标单位及投标文件的要求:</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1. 企业简介</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 营业执照复印件（盖公章）</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3.法人身份证复印件及或代理人身份证复印件（盖公章）</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4.代理人委托书。</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5. 主要业绩（三年内同等规模）（盖公章）</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6. 一年内销售合同（复印件盖公章）。</w:t>
      </w:r>
    </w:p>
    <w:p>
      <w:pPr>
        <w:numPr>
          <w:ilvl w:val="0"/>
          <w:numId w:val="0"/>
        </w:numPr>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7.投标书中需包含有投标方对所投标设备的检验、试验及验收标准的详细叙述。</w:t>
      </w:r>
    </w:p>
    <w:p>
      <w:pPr>
        <w:numPr>
          <w:ilvl w:val="0"/>
          <w:numId w:val="0"/>
        </w:numPr>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8.投标书中需包含有投标方对所投标设备的的设备性能保证方案的详细叙述，至少包括以下两项：</w:t>
      </w:r>
    </w:p>
    <w:p>
      <w:pPr>
        <w:numPr>
          <w:ilvl w:val="0"/>
          <w:numId w:val="0"/>
        </w:numPr>
        <w:spacing w:line="360" w:lineRule="auto"/>
        <w:ind w:firstLine="1200" w:firstLineChars="5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1）.加工制作工艺方案       2). 质量保证方案</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9.投标单位可以在甲方提供的设计数据基础上，提前与甲方沟通，征得甲方技术人员同意，优化方案，但必须满足相关国家或行业标准、规范。</w:t>
      </w:r>
    </w:p>
    <w:p>
      <w:pPr>
        <w:numPr>
          <w:ilvl w:val="0"/>
          <w:numId w:val="0"/>
        </w:num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10.甲方从相关投标方中选择质量有保证、价格合适、既节能又经济的方案与供货方合作。</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九．设备的质保及服务内容</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十．需报出设备的制作周期及交货方式</w:t>
      </w:r>
    </w:p>
    <w:p>
      <w:pPr>
        <w:numPr>
          <w:ilvl w:val="0"/>
          <w:numId w:val="0"/>
        </w:numPr>
        <w:spacing w:line="360" w:lineRule="auto"/>
        <w:rPr>
          <w:rFonts w:hint="eastAsia" w:ascii="仿宋" w:hAnsi="仿宋" w:eastAsia="仿宋" w:cs="仿宋"/>
          <w:sz w:val="24"/>
          <w:szCs w:val="24"/>
          <w:lang w:val="en-US" w:eastAsia="zh-CN"/>
        </w:rPr>
      </w:pP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沧州绿源水处理有限公司</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2017.10.17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6A63C"/>
    <w:multiLevelType w:val="singleLevel"/>
    <w:tmpl w:val="59E6A63C"/>
    <w:lvl w:ilvl="0" w:tentative="0">
      <w:start w:val="7"/>
      <w:numFmt w:val="chineseCounting"/>
      <w:suff w:val="nothing"/>
      <w:lvlText w:val="%1．"/>
      <w:lvlJc w:val="left"/>
    </w:lvl>
  </w:abstractNum>
  <w:abstractNum w:abstractNumId="1">
    <w:nsid w:val="59E7F483"/>
    <w:multiLevelType w:val="singleLevel"/>
    <w:tmpl w:val="59E7F483"/>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23393"/>
    <w:rsid w:val="0B7B7113"/>
    <w:rsid w:val="185200A6"/>
    <w:rsid w:val="19F4034B"/>
    <w:rsid w:val="1DCD0DD6"/>
    <w:rsid w:val="26C83064"/>
    <w:rsid w:val="31F70038"/>
    <w:rsid w:val="323E1326"/>
    <w:rsid w:val="37632124"/>
    <w:rsid w:val="3AFC0306"/>
    <w:rsid w:val="3BB97034"/>
    <w:rsid w:val="58B8213D"/>
    <w:rsid w:val="5BD61D5D"/>
    <w:rsid w:val="60521F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dc:creator>
  <cp:lastModifiedBy>zhao</cp:lastModifiedBy>
  <cp:lastPrinted>2017-10-17T03:18:00Z</cp:lastPrinted>
  <dcterms:modified xsi:type="dcterms:W3CDTF">2017-10-19T04:00:53Z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