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both"/>
        <w:rPr>
          <w:rFonts w:hint="eastAsia" w:ascii="宋体" w:hAnsi="宋体"/>
          <w:sz w:val="28"/>
          <w:szCs w:val="28"/>
          <w:lang w:val="en-US" w:eastAsia="zh-CN"/>
        </w:rPr>
      </w:pPr>
      <w:r>
        <w:rPr>
          <w:rFonts w:hint="eastAsia" w:ascii="宋体" w:hAnsi="宋体"/>
          <w:sz w:val="28"/>
          <w:szCs w:val="28"/>
          <w:lang w:val="en-US" w:eastAsia="zh-CN"/>
        </w:rPr>
        <w:t xml:space="preserve"> 沧州临港污水处理及中水回用项目搅拌机类竞争性谈判技术文件</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lang w:val="en-US" w:eastAsia="zh-CN"/>
        </w:rPr>
        <w:t>一．项目名称:沧州临港污水处理及中水回用项目</w:t>
      </w:r>
    </w:p>
    <w:p>
      <w:p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 建设单位:沧州绿源水处理有限公司</w:t>
      </w:r>
    </w:p>
    <w:p>
      <w:p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 建设地点:沧州临港经济技术开发区东区</w:t>
      </w:r>
    </w:p>
    <w:p>
      <w:pPr>
        <w:spacing w:line="360" w:lineRule="auto"/>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 建设规模：</w:t>
      </w:r>
      <w:r>
        <w:rPr>
          <w:rFonts w:hint="eastAsia" w:ascii="仿宋" w:hAnsi="仿宋" w:eastAsia="仿宋" w:cs="仿宋"/>
          <w:sz w:val="24"/>
          <w:szCs w:val="24"/>
        </w:rPr>
        <w:t>工程占地约</w:t>
      </w:r>
      <w:r>
        <w:rPr>
          <w:rFonts w:hint="eastAsia" w:ascii="仿宋" w:hAnsi="仿宋" w:eastAsia="仿宋" w:cs="仿宋"/>
          <w:sz w:val="24"/>
          <w:szCs w:val="24"/>
          <w:lang w:val="en-US" w:eastAsia="zh-CN"/>
        </w:rPr>
        <w:t>75亩。</w:t>
      </w:r>
    </w:p>
    <w:p>
      <w:pPr>
        <w:numPr>
          <w:ilvl w:val="0"/>
          <w:numId w:val="0"/>
        </w:numPr>
        <w:spacing w:line="360" w:lineRule="auto"/>
        <w:rPr>
          <w:rFonts w:hint="eastAsia"/>
          <w:lang w:val="en-US" w:eastAsia="zh-CN"/>
        </w:rPr>
      </w:pPr>
      <w:r>
        <w:rPr>
          <w:rFonts w:hint="eastAsia" w:ascii="仿宋" w:hAnsi="仿宋" w:eastAsia="仿宋" w:cs="仿宋"/>
          <w:sz w:val="24"/>
          <w:szCs w:val="24"/>
          <w:lang w:val="en-US" w:eastAsia="zh-CN"/>
        </w:rPr>
        <w:t>五． 招标内容：搅拌机类</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六．具体招标范围</w:t>
      </w:r>
    </w:p>
    <w:p>
      <w:pPr>
        <w:numPr>
          <w:ilvl w:val="0"/>
          <w:numId w:val="0"/>
        </w:num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设备一览表</w:t>
      </w:r>
    </w:p>
    <w:tbl>
      <w:tblPr>
        <w:tblStyle w:val="4"/>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799"/>
        <w:gridCol w:w="1211"/>
        <w:gridCol w:w="1971"/>
        <w:gridCol w:w="1447"/>
        <w:gridCol w:w="90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597" w:type="dxa"/>
          </w:tcPr>
          <w:p>
            <w:pPr>
              <w:numPr>
                <w:ilvl w:val="0"/>
                <w:numId w:val="0"/>
              </w:numPr>
              <w:spacing w:line="240" w:lineRule="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799"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名称</w:t>
            </w:r>
          </w:p>
        </w:tc>
        <w:tc>
          <w:tcPr>
            <w:tcW w:w="1211"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输送介质及参数</w:t>
            </w:r>
          </w:p>
        </w:tc>
        <w:tc>
          <w:tcPr>
            <w:tcW w:w="1971"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规格型号</w:t>
            </w:r>
          </w:p>
        </w:tc>
        <w:tc>
          <w:tcPr>
            <w:tcW w:w="1447" w:type="dxa"/>
            <w:vAlign w:val="center"/>
          </w:tcPr>
          <w:p>
            <w:pPr>
              <w:numPr>
                <w:ilvl w:val="0"/>
                <w:numId w:val="0"/>
              </w:numPr>
              <w:spacing w:line="240" w:lineRule="auto"/>
              <w:ind w:left="210" w:hanging="210" w:hangingChars="10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安装方式</w:t>
            </w:r>
          </w:p>
        </w:tc>
        <w:tc>
          <w:tcPr>
            <w:tcW w:w="900"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配用功率</w:t>
            </w:r>
          </w:p>
        </w:tc>
        <w:tc>
          <w:tcPr>
            <w:tcW w:w="814"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597"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799" w:type="dxa"/>
            <w:vMerge w:val="restart"/>
            <w:vAlign w:val="center"/>
          </w:tcPr>
          <w:p>
            <w:pPr>
              <w:numPr>
                <w:ilvl w:val="0"/>
                <w:numId w:val="0"/>
              </w:numPr>
              <w:spacing w:line="240" w:lineRule="auto"/>
              <w:ind w:left="0" w:leftChars="0"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混合式搅拌机</w:t>
            </w:r>
          </w:p>
        </w:tc>
        <w:tc>
          <w:tcPr>
            <w:tcW w:w="1211" w:type="dxa"/>
            <w:vAlign w:val="center"/>
          </w:tcPr>
          <w:p>
            <w:pPr>
              <w:numPr>
                <w:ilvl w:val="0"/>
                <w:numId w:val="0"/>
              </w:numPr>
              <w:spacing w:line="240" w:lineRule="auto"/>
              <w:ind w:left="0" w:leftChars="0" w:firstLine="0" w:firstLineChars="0"/>
              <w:jc w:val="left"/>
              <w:rPr>
                <w:rFonts w:hint="eastAsia" w:ascii="仿宋" w:hAnsi="仿宋" w:eastAsia="仿宋" w:cs="仿宋"/>
                <w:sz w:val="21"/>
                <w:szCs w:val="21"/>
                <w:vertAlign w:val="baseline"/>
                <w:lang w:val="en-US" w:eastAsia="zh-CN"/>
              </w:rPr>
            </w:pPr>
          </w:p>
        </w:tc>
        <w:tc>
          <w:tcPr>
            <w:tcW w:w="1971" w:type="dxa"/>
            <w:vAlign w:val="center"/>
          </w:tcPr>
          <w:p>
            <w:pPr>
              <w:numPr>
                <w:ilvl w:val="0"/>
                <w:numId w:val="0"/>
              </w:numPr>
              <w:spacing w:line="240" w:lineRule="auto"/>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D：800mm</w:t>
            </w:r>
          </w:p>
          <w:p>
            <w:pPr>
              <w:numPr>
                <w:ilvl w:val="0"/>
                <w:numId w:val="0"/>
              </w:numPr>
              <w:spacing w:line="240" w:lineRule="auto"/>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n：72r/min</w:t>
            </w:r>
          </w:p>
          <w:p>
            <w:pPr>
              <w:numPr>
                <w:ilvl w:val="0"/>
                <w:numId w:val="0"/>
              </w:numPr>
              <w:spacing w:line="240" w:lineRule="auto"/>
              <w:ind w:left="0" w:leftChars="0" w:firstLine="0" w:firstLineChars="0"/>
              <w:jc w:val="left"/>
              <w:rPr>
                <w:rFonts w:hint="eastAsia" w:ascii="仿宋" w:hAnsi="仿宋" w:eastAsia="仿宋" w:cs="仿宋"/>
                <w:sz w:val="21"/>
                <w:szCs w:val="21"/>
                <w:vertAlign w:val="baseline"/>
                <w:lang w:val="en-US" w:eastAsia="zh-CN"/>
              </w:rPr>
            </w:pPr>
            <w:r>
              <w:rPr>
                <w:rFonts w:hint="eastAsia" w:ascii="仿宋" w:hAnsi="仿宋" w:eastAsia="仿宋" w:cs="仿宋"/>
                <w:sz w:val="18"/>
                <w:szCs w:val="18"/>
                <w:vertAlign w:val="baseline"/>
                <w:lang w:val="en-US" w:eastAsia="zh-CN"/>
              </w:rPr>
              <w:t>池深：5m</w:t>
            </w:r>
          </w:p>
        </w:tc>
        <w:tc>
          <w:tcPr>
            <w:tcW w:w="1447" w:type="dxa"/>
            <w:vAlign w:val="center"/>
          </w:tcPr>
          <w:p>
            <w:pPr>
              <w:numPr>
                <w:ilvl w:val="0"/>
                <w:numId w:val="0"/>
              </w:numPr>
              <w:spacing w:line="240" w:lineRule="auto"/>
              <w:ind w:left="0" w:leftChars="0"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混合立式折浆搅拌</w:t>
            </w:r>
          </w:p>
        </w:tc>
        <w:tc>
          <w:tcPr>
            <w:tcW w:w="900" w:type="dxa"/>
            <w:vAlign w:val="center"/>
          </w:tcPr>
          <w:p>
            <w:pPr>
              <w:numPr>
                <w:ilvl w:val="0"/>
                <w:numId w:val="0"/>
              </w:numPr>
              <w:spacing w:line="240" w:lineRule="auto"/>
              <w:ind w:left="0" w:leftChars="0" w:firstLine="0" w:firstLineChars="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3kw</w:t>
            </w:r>
          </w:p>
        </w:tc>
        <w:tc>
          <w:tcPr>
            <w:tcW w:w="814" w:type="dxa"/>
            <w:vAlign w:val="center"/>
          </w:tcPr>
          <w:p>
            <w:pPr>
              <w:numPr>
                <w:ilvl w:val="0"/>
                <w:numId w:val="0"/>
              </w:numPr>
              <w:spacing w:line="240" w:lineRule="auto"/>
              <w:ind w:left="0" w:leftChars="0"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597"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4"/>
                <w:szCs w:val="24"/>
                <w:vertAlign w:val="baseline"/>
                <w:lang w:val="en-US" w:eastAsia="zh-CN"/>
              </w:rPr>
              <w:t>2</w:t>
            </w:r>
          </w:p>
        </w:tc>
        <w:tc>
          <w:tcPr>
            <w:tcW w:w="1799" w:type="dxa"/>
            <w:vMerge w:val="continue"/>
            <w:vAlign w:val="center"/>
          </w:tcPr>
          <w:p>
            <w:pPr>
              <w:numPr>
                <w:ilvl w:val="0"/>
                <w:numId w:val="0"/>
              </w:num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11" w:type="dxa"/>
            <w:vAlign w:val="center"/>
          </w:tcPr>
          <w:p>
            <w:pPr>
              <w:numPr>
                <w:ilvl w:val="0"/>
                <w:numId w:val="0"/>
              </w:numPr>
              <w:spacing w:line="240" w:lineRule="auto"/>
              <w:ind w:left="0" w:leftChars="0" w:firstLine="0" w:firstLineChars="0"/>
              <w:jc w:val="left"/>
              <w:rPr>
                <w:rFonts w:hint="eastAsia" w:ascii="仿宋" w:hAnsi="仿宋" w:eastAsia="仿宋" w:cs="仿宋"/>
                <w:sz w:val="21"/>
                <w:szCs w:val="21"/>
                <w:vertAlign w:val="baseline"/>
                <w:lang w:val="en-US" w:eastAsia="zh-CN"/>
              </w:rPr>
            </w:pPr>
          </w:p>
        </w:tc>
        <w:tc>
          <w:tcPr>
            <w:tcW w:w="1971" w:type="dxa"/>
            <w:vAlign w:val="center"/>
          </w:tcPr>
          <w:p>
            <w:pPr>
              <w:numPr>
                <w:ilvl w:val="0"/>
                <w:numId w:val="0"/>
              </w:numPr>
              <w:spacing w:line="240" w:lineRule="auto"/>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D：2500mm</w:t>
            </w:r>
          </w:p>
          <w:p>
            <w:pPr>
              <w:numPr>
                <w:ilvl w:val="0"/>
                <w:numId w:val="0"/>
              </w:numPr>
              <w:spacing w:line="240" w:lineRule="auto"/>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n：18-40r/min</w:t>
            </w:r>
          </w:p>
          <w:p>
            <w:pPr>
              <w:numPr>
                <w:ilvl w:val="0"/>
                <w:numId w:val="0"/>
              </w:numPr>
              <w:spacing w:line="240" w:lineRule="auto"/>
              <w:jc w:val="left"/>
              <w:rPr>
                <w:rFonts w:hint="eastAsia" w:ascii="仿宋" w:hAnsi="仿宋" w:eastAsia="仿宋" w:cs="仿宋"/>
                <w:sz w:val="21"/>
                <w:szCs w:val="21"/>
                <w:vertAlign w:val="baseline"/>
                <w:lang w:val="en-US" w:eastAsia="zh-CN"/>
              </w:rPr>
            </w:pPr>
            <w:r>
              <w:rPr>
                <w:rFonts w:hint="eastAsia" w:ascii="仿宋" w:hAnsi="仿宋" w:eastAsia="仿宋" w:cs="仿宋"/>
                <w:sz w:val="18"/>
                <w:szCs w:val="18"/>
                <w:vertAlign w:val="baseline"/>
                <w:lang w:val="en-US" w:eastAsia="zh-CN"/>
              </w:rPr>
              <w:t>水池：10m*9m</w:t>
            </w:r>
          </w:p>
        </w:tc>
        <w:tc>
          <w:tcPr>
            <w:tcW w:w="1447" w:type="dxa"/>
            <w:vAlign w:val="center"/>
          </w:tcPr>
          <w:p>
            <w:pPr>
              <w:numPr>
                <w:ilvl w:val="0"/>
                <w:numId w:val="0"/>
              </w:numPr>
              <w:spacing w:line="240" w:lineRule="auto"/>
              <w:ind w:left="0" w:leftChars="0"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双曲面立式涡轮搅拌</w:t>
            </w:r>
          </w:p>
        </w:tc>
        <w:tc>
          <w:tcPr>
            <w:tcW w:w="900" w:type="dxa"/>
            <w:vAlign w:val="center"/>
          </w:tcPr>
          <w:p>
            <w:pPr>
              <w:numPr>
                <w:ilvl w:val="0"/>
                <w:numId w:val="0"/>
              </w:numPr>
              <w:spacing w:line="240" w:lineRule="auto"/>
              <w:ind w:left="0" w:leftChars="0" w:firstLine="0" w:firstLineChars="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5.5kw</w:t>
            </w:r>
          </w:p>
        </w:tc>
        <w:tc>
          <w:tcPr>
            <w:tcW w:w="814" w:type="dxa"/>
            <w:vAlign w:val="center"/>
          </w:tcPr>
          <w:p>
            <w:pPr>
              <w:numPr>
                <w:ilvl w:val="0"/>
                <w:numId w:val="0"/>
              </w:numPr>
              <w:spacing w:line="240" w:lineRule="auto"/>
              <w:ind w:left="0" w:leftChars="0"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597" w:type="dxa"/>
            <w:vAlign w:val="center"/>
          </w:tcPr>
          <w:p>
            <w:pPr>
              <w:numPr>
                <w:ilvl w:val="0"/>
                <w:numId w:val="0"/>
              </w:num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799" w:type="dxa"/>
            <w:vMerge w:val="restart"/>
            <w:vAlign w:val="center"/>
          </w:tcPr>
          <w:p>
            <w:pPr>
              <w:numPr>
                <w:ilvl w:val="0"/>
                <w:numId w:val="0"/>
              </w:numPr>
              <w:spacing w:line="24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1"/>
                <w:szCs w:val="21"/>
                <w:vertAlign w:val="baseline"/>
                <w:lang w:val="en-US" w:eastAsia="zh-CN"/>
              </w:rPr>
              <w:t>絮凝反应搅拌机</w:t>
            </w:r>
          </w:p>
        </w:tc>
        <w:tc>
          <w:tcPr>
            <w:tcW w:w="1211" w:type="dxa"/>
            <w:vAlign w:val="center"/>
          </w:tcPr>
          <w:p>
            <w:pPr>
              <w:numPr>
                <w:ilvl w:val="0"/>
                <w:numId w:val="0"/>
              </w:numPr>
              <w:spacing w:line="240" w:lineRule="auto"/>
              <w:ind w:left="0" w:leftChars="0" w:firstLine="0" w:firstLineChars="0"/>
              <w:jc w:val="left"/>
              <w:rPr>
                <w:rFonts w:hint="eastAsia" w:ascii="仿宋" w:hAnsi="仿宋" w:eastAsia="仿宋" w:cs="仿宋"/>
                <w:sz w:val="24"/>
                <w:szCs w:val="24"/>
                <w:vertAlign w:val="baseline"/>
                <w:lang w:val="en-US" w:eastAsia="zh-CN"/>
              </w:rPr>
            </w:pPr>
          </w:p>
        </w:tc>
        <w:tc>
          <w:tcPr>
            <w:tcW w:w="1971" w:type="dxa"/>
            <w:vAlign w:val="center"/>
          </w:tcPr>
          <w:p>
            <w:pPr>
              <w:numPr>
                <w:ilvl w:val="0"/>
                <w:numId w:val="0"/>
              </w:numPr>
              <w:spacing w:line="240" w:lineRule="auto"/>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D：2800mm</w:t>
            </w:r>
          </w:p>
          <w:p>
            <w:pPr>
              <w:numPr>
                <w:ilvl w:val="0"/>
                <w:numId w:val="0"/>
              </w:numPr>
              <w:spacing w:line="240" w:lineRule="auto"/>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V：0.7-0.8m/s</w:t>
            </w:r>
          </w:p>
          <w:p>
            <w:pPr>
              <w:numPr>
                <w:ilvl w:val="0"/>
                <w:numId w:val="0"/>
              </w:numPr>
              <w:spacing w:line="240" w:lineRule="auto"/>
              <w:ind w:left="0" w:leftChars="0" w:firstLine="0" w:firstLineChars="0"/>
              <w:jc w:val="left"/>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池深：5米</w:t>
            </w:r>
            <w:bookmarkStart w:id="0" w:name="_GoBack"/>
            <w:bookmarkEnd w:id="0"/>
          </w:p>
        </w:tc>
        <w:tc>
          <w:tcPr>
            <w:tcW w:w="1447" w:type="dxa"/>
            <w:vAlign w:val="center"/>
          </w:tcPr>
          <w:p>
            <w:pPr>
              <w:numPr>
                <w:ilvl w:val="0"/>
                <w:numId w:val="0"/>
              </w:numPr>
              <w:spacing w:line="24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1"/>
                <w:szCs w:val="21"/>
                <w:vertAlign w:val="baseline"/>
                <w:lang w:val="en-US" w:eastAsia="zh-CN"/>
              </w:rPr>
              <w:t>絮凝立式   搅拌机</w:t>
            </w:r>
          </w:p>
        </w:tc>
        <w:tc>
          <w:tcPr>
            <w:tcW w:w="900" w:type="dxa"/>
            <w:vAlign w:val="center"/>
          </w:tcPr>
          <w:p>
            <w:pPr>
              <w:numPr>
                <w:ilvl w:val="0"/>
                <w:numId w:val="0"/>
              </w:numPr>
              <w:spacing w:line="240" w:lineRule="auto"/>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1"/>
                <w:szCs w:val="21"/>
                <w:vertAlign w:val="baseline"/>
                <w:lang w:val="en-US" w:eastAsia="zh-CN"/>
              </w:rPr>
              <w:t>0.55kw</w:t>
            </w:r>
          </w:p>
        </w:tc>
        <w:tc>
          <w:tcPr>
            <w:tcW w:w="814" w:type="dxa"/>
            <w:vAlign w:val="center"/>
          </w:tcPr>
          <w:p>
            <w:pPr>
              <w:numPr>
                <w:ilvl w:val="0"/>
                <w:numId w:val="0"/>
              </w:numPr>
              <w:spacing w:line="24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7" w:type="dxa"/>
            <w:vAlign w:val="center"/>
          </w:tcPr>
          <w:p>
            <w:pPr>
              <w:numPr>
                <w:ilvl w:val="0"/>
                <w:numId w:val="0"/>
              </w:num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799" w:type="dxa"/>
            <w:vMerge w:val="continue"/>
            <w:vAlign w:val="center"/>
          </w:tcPr>
          <w:p>
            <w:pPr>
              <w:numPr>
                <w:ilvl w:val="0"/>
                <w:numId w:val="0"/>
              </w:numPr>
              <w:spacing w:line="240" w:lineRule="auto"/>
              <w:ind w:left="0" w:leftChars="0" w:firstLine="0" w:firstLineChars="0"/>
              <w:jc w:val="center"/>
              <w:rPr>
                <w:rFonts w:hint="eastAsia" w:ascii="仿宋" w:hAnsi="仿宋" w:eastAsia="仿宋" w:cs="仿宋"/>
                <w:sz w:val="24"/>
                <w:szCs w:val="24"/>
                <w:vertAlign w:val="baseline"/>
                <w:lang w:val="en-US" w:eastAsia="zh-CN"/>
              </w:rPr>
            </w:pPr>
          </w:p>
        </w:tc>
        <w:tc>
          <w:tcPr>
            <w:tcW w:w="1211" w:type="dxa"/>
            <w:vAlign w:val="center"/>
          </w:tcPr>
          <w:p>
            <w:pPr>
              <w:numPr>
                <w:ilvl w:val="0"/>
                <w:numId w:val="0"/>
              </w:numPr>
              <w:spacing w:line="240" w:lineRule="auto"/>
              <w:ind w:left="0" w:leftChars="0" w:firstLine="0" w:firstLineChars="0"/>
              <w:jc w:val="left"/>
              <w:rPr>
                <w:rFonts w:hint="eastAsia" w:ascii="仿宋" w:hAnsi="仿宋" w:eastAsia="仿宋" w:cs="仿宋"/>
                <w:sz w:val="24"/>
                <w:szCs w:val="24"/>
                <w:vertAlign w:val="baseline"/>
                <w:lang w:val="en-US" w:eastAsia="zh-CN"/>
              </w:rPr>
            </w:pPr>
          </w:p>
        </w:tc>
        <w:tc>
          <w:tcPr>
            <w:tcW w:w="1971" w:type="dxa"/>
            <w:vAlign w:val="center"/>
          </w:tcPr>
          <w:p>
            <w:pPr>
              <w:numPr>
                <w:ilvl w:val="0"/>
                <w:numId w:val="0"/>
              </w:numPr>
              <w:spacing w:line="240" w:lineRule="auto"/>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D：2800mm</w:t>
            </w:r>
          </w:p>
          <w:p>
            <w:pPr>
              <w:numPr>
                <w:ilvl w:val="0"/>
                <w:numId w:val="0"/>
              </w:numPr>
              <w:spacing w:line="240" w:lineRule="auto"/>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V：0.4-0.5m/s</w:t>
            </w:r>
          </w:p>
          <w:p>
            <w:pPr>
              <w:numPr>
                <w:ilvl w:val="0"/>
                <w:numId w:val="0"/>
              </w:numPr>
              <w:spacing w:line="240" w:lineRule="auto"/>
              <w:ind w:left="0" w:leftChars="0" w:firstLine="0" w:firstLineChars="0"/>
              <w:jc w:val="left"/>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池深5m：</w:t>
            </w:r>
          </w:p>
        </w:tc>
        <w:tc>
          <w:tcPr>
            <w:tcW w:w="1447" w:type="dxa"/>
            <w:vAlign w:val="center"/>
          </w:tcPr>
          <w:p>
            <w:pPr>
              <w:numPr>
                <w:ilvl w:val="0"/>
                <w:numId w:val="0"/>
              </w:numPr>
              <w:spacing w:line="24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1"/>
                <w:szCs w:val="21"/>
                <w:vertAlign w:val="baseline"/>
                <w:lang w:val="en-US" w:eastAsia="zh-CN"/>
              </w:rPr>
              <w:t>絮凝立式   搅拌机</w:t>
            </w:r>
          </w:p>
        </w:tc>
        <w:tc>
          <w:tcPr>
            <w:tcW w:w="900" w:type="dxa"/>
            <w:vAlign w:val="center"/>
          </w:tcPr>
          <w:p>
            <w:pPr>
              <w:numPr>
                <w:ilvl w:val="0"/>
                <w:numId w:val="0"/>
              </w:numPr>
              <w:spacing w:line="240" w:lineRule="auto"/>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1"/>
                <w:szCs w:val="21"/>
                <w:vertAlign w:val="baseline"/>
                <w:lang w:val="en-US" w:eastAsia="zh-CN"/>
              </w:rPr>
              <w:t>0.37kw</w:t>
            </w:r>
          </w:p>
        </w:tc>
        <w:tc>
          <w:tcPr>
            <w:tcW w:w="814" w:type="dxa"/>
            <w:vAlign w:val="center"/>
          </w:tcPr>
          <w:p>
            <w:pPr>
              <w:numPr>
                <w:ilvl w:val="0"/>
                <w:numId w:val="0"/>
              </w:numPr>
              <w:spacing w:line="24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7" w:type="dxa"/>
            <w:vAlign w:val="center"/>
          </w:tcPr>
          <w:p>
            <w:pPr>
              <w:numPr>
                <w:ilvl w:val="0"/>
                <w:numId w:val="0"/>
              </w:num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799" w:type="dxa"/>
            <w:vMerge w:val="continue"/>
            <w:vAlign w:val="center"/>
          </w:tcPr>
          <w:p>
            <w:pPr>
              <w:numPr>
                <w:ilvl w:val="0"/>
                <w:numId w:val="0"/>
              </w:numPr>
              <w:spacing w:line="240" w:lineRule="auto"/>
              <w:ind w:left="0" w:leftChars="0" w:firstLine="0" w:firstLineChars="0"/>
              <w:jc w:val="center"/>
              <w:rPr>
                <w:rFonts w:hint="eastAsia" w:ascii="仿宋" w:hAnsi="仿宋" w:eastAsia="仿宋" w:cs="仿宋"/>
                <w:sz w:val="24"/>
                <w:szCs w:val="24"/>
                <w:vertAlign w:val="baseline"/>
                <w:lang w:val="en-US" w:eastAsia="zh-CN"/>
              </w:rPr>
            </w:pPr>
          </w:p>
        </w:tc>
        <w:tc>
          <w:tcPr>
            <w:tcW w:w="1211" w:type="dxa"/>
            <w:vAlign w:val="center"/>
          </w:tcPr>
          <w:p>
            <w:pPr>
              <w:numPr>
                <w:ilvl w:val="0"/>
                <w:numId w:val="0"/>
              </w:numPr>
              <w:spacing w:line="240" w:lineRule="auto"/>
              <w:ind w:left="0" w:leftChars="0" w:firstLine="0" w:firstLineChars="0"/>
              <w:jc w:val="left"/>
              <w:rPr>
                <w:rFonts w:hint="eastAsia" w:ascii="仿宋" w:hAnsi="仿宋" w:eastAsia="仿宋" w:cs="仿宋"/>
                <w:sz w:val="24"/>
                <w:szCs w:val="24"/>
                <w:vertAlign w:val="baseline"/>
                <w:lang w:val="en-US" w:eastAsia="zh-CN"/>
              </w:rPr>
            </w:pPr>
          </w:p>
        </w:tc>
        <w:tc>
          <w:tcPr>
            <w:tcW w:w="1971" w:type="dxa"/>
            <w:vAlign w:val="center"/>
          </w:tcPr>
          <w:p>
            <w:pPr>
              <w:numPr>
                <w:ilvl w:val="0"/>
                <w:numId w:val="0"/>
              </w:numPr>
              <w:spacing w:line="240" w:lineRule="auto"/>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D：2800mm</w:t>
            </w:r>
          </w:p>
          <w:p>
            <w:pPr>
              <w:numPr>
                <w:ilvl w:val="0"/>
                <w:numId w:val="0"/>
              </w:numPr>
              <w:spacing w:line="240" w:lineRule="auto"/>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V：0.1-0.2m/s</w:t>
            </w:r>
          </w:p>
          <w:p>
            <w:pPr>
              <w:numPr>
                <w:ilvl w:val="0"/>
                <w:numId w:val="0"/>
              </w:numPr>
              <w:spacing w:line="240" w:lineRule="auto"/>
              <w:ind w:left="0" w:leftChars="0" w:firstLine="0" w:firstLineChars="0"/>
              <w:jc w:val="left"/>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池深5m：</w:t>
            </w:r>
          </w:p>
        </w:tc>
        <w:tc>
          <w:tcPr>
            <w:tcW w:w="1447" w:type="dxa"/>
            <w:vAlign w:val="center"/>
          </w:tcPr>
          <w:p>
            <w:pPr>
              <w:numPr>
                <w:ilvl w:val="0"/>
                <w:numId w:val="0"/>
              </w:numPr>
              <w:spacing w:line="24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1"/>
                <w:szCs w:val="21"/>
                <w:vertAlign w:val="baseline"/>
                <w:lang w:val="en-US" w:eastAsia="zh-CN"/>
              </w:rPr>
              <w:t>絮凝立式   搅拌机</w:t>
            </w:r>
          </w:p>
        </w:tc>
        <w:tc>
          <w:tcPr>
            <w:tcW w:w="900" w:type="dxa"/>
            <w:vAlign w:val="center"/>
          </w:tcPr>
          <w:p>
            <w:pPr>
              <w:numPr>
                <w:ilvl w:val="0"/>
                <w:numId w:val="0"/>
              </w:numPr>
              <w:spacing w:line="240" w:lineRule="auto"/>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1"/>
                <w:szCs w:val="21"/>
                <w:vertAlign w:val="baseline"/>
                <w:lang w:val="en-US" w:eastAsia="zh-CN"/>
              </w:rPr>
              <w:t>0.25kw</w:t>
            </w:r>
          </w:p>
        </w:tc>
        <w:tc>
          <w:tcPr>
            <w:tcW w:w="814" w:type="dxa"/>
            <w:vAlign w:val="center"/>
          </w:tcPr>
          <w:p>
            <w:pPr>
              <w:numPr>
                <w:ilvl w:val="0"/>
                <w:numId w:val="0"/>
              </w:numPr>
              <w:spacing w:line="24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1"/>
                <w:szCs w:val="21"/>
                <w:vertAlign w:val="baseline"/>
                <w:lang w:val="en-US" w:eastAsia="zh-CN"/>
              </w:rPr>
              <w:t>2</w:t>
            </w:r>
          </w:p>
        </w:tc>
      </w:tr>
    </w:tbl>
    <w:p>
      <w:pPr>
        <w:numPr>
          <w:ilvl w:val="0"/>
          <w:numId w:val="1"/>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详细技术参数要求：</w:t>
      </w:r>
    </w:p>
    <w:p>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1.依据水质参数指标设计出适合与介质接触部份的搅拌器及搅拌轴材质（可否选用316L)。</w:t>
      </w:r>
    </w:p>
    <w:p>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2.减速机采用行星摆线式减速机，采用同行业知名度较高、信誉度较好的产品，并标出制造名称及品牌。</w:t>
      </w:r>
    </w:p>
    <w:p>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3.供货方在合同签订后7日内向需方提供设备外型尺寸图、安装图、基础图。</w:t>
      </w:r>
    </w:p>
    <w:p>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4.乙方需安排专人进行现场指导安装。</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八．对投标单位及投标文件的要求:</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1. 企业简介</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2. 营业执照复印件（盖公章）</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3.法人身份证复印件及或代理人身份证复印件（盖公章）</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4.代理人委托书。</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5. 主要业绩（三年内同等规模）（盖公章）</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6. 一年内销售合同（复印件盖公章）。</w:t>
      </w:r>
    </w:p>
    <w:p>
      <w:pPr>
        <w:numPr>
          <w:ilvl w:val="0"/>
          <w:numId w:val="0"/>
        </w:numPr>
        <w:spacing w:line="360" w:lineRule="auto"/>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7.投标书中需包含有投标方对所投标设备的检验、试验及验收标准的详细叙述。</w:t>
      </w:r>
    </w:p>
    <w:p>
      <w:pPr>
        <w:numPr>
          <w:ilvl w:val="0"/>
          <w:numId w:val="0"/>
        </w:numPr>
        <w:spacing w:line="360" w:lineRule="auto"/>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8.投标书中需包含有投标方对所投标设备的的设备性能保证方案的详细叙述，至少包括以下两项：</w:t>
      </w:r>
    </w:p>
    <w:p>
      <w:pPr>
        <w:numPr>
          <w:ilvl w:val="0"/>
          <w:numId w:val="0"/>
        </w:numPr>
        <w:spacing w:line="360" w:lineRule="auto"/>
        <w:ind w:firstLine="1200" w:firstLineChars="5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1）.加工制作工艺方案       2). 质量保证方案</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9.投标单位可以在甲方提供的设计数据基础上，提前与甲方沟通，征得甲方技术人员同意，优化方案，但必须满足相关国家或行业标准、规范。</w:t>
      </w:r>
    </w:p>
    <w:p>
      <w:pPr>
        <w:numPr>
          <w:ilvl w:val="0"/>
          <w:numId w:val="0"/>
        </w:numPr>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10.甲方从相关投标方中选择质量有保证、价格合适、既节能又经济的方案与供货方合作。</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九．设备的质保及服务内容</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十．需报出设备的制作周期及交货方式</w:t>
      </w:r>
    </w:p>
    <w:p>
      <w:pPr>
        <w:numPr>
          <w:ilvl w:val="0"/>
          <w:numId w:val="0"/>
        </w:numPr>
        <w:spacing w:line="360" w:lineRule="auto"/>
        <w:rPr>
          <w:rFonts w:hint="eastAsia" w:ascii="仿宋" w:hAnsi="仿宋" w:eastAsia="仿宋" w:cs="仿宋"/>
          <w:sz w:val="24"/>
          <w:szCs w:val="24"/>
          <w:lang w:val="en-US" w:eastAsia="zh-CN"/>
        </w:rPr>
      </w:pP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沧州绿源水处理有限公司</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2017.10.17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6A63C"/>
    <w:multiLevelType w:val="singleLevel"/>
    <w:tmpl w:val="59E6A63C"/>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23393"/>
    <w:rsid w:val="0B7B7113"/>
    <w:rsid w:val="11F10020"/>
    <w:rsid w:val="19F4034B"/>
    <w:rsid w:val="1B04128E"/>
    <w:rsid w:val="1DCD0DD6"/>
    <w:rsid w:val="26A1769F"/>
    <w:rsid w:val="323E1326"/>
    <w:rsid w:val="332468AC"/>
    <w:rsid w:val="39C84E11"/>
    <w:rsid w:val="3A471B76"/>
    <w:rsid w:val="3BB97034"/>
    <w:rsid w:val="4060265B"/>
    <w:rsid w:val="58B8213D"/>
    <w:rsid w:val="5BD61D5D"/>
    <w:rsid w:val="60521F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dc:creator>
  <cp:lastModifiedBy>zhao</cp:lastModifiedBy>
  <cp:lastPrinted>2017-10-17T03:18:00Z</cp:lastPrinted>
  <dcterms:modified xsi:type="dcterms:W3CDTF">2017-10-19T03:59:18Z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