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both"/>
        <w:rPr>
          <w:rFonts w:hint="eastAsia" w:ascii="宋体" w:hAnsi="宋体"/>
          <w:sz w:val="28"/>
          <w:szCs w:val="28"/>
          <w:lang w:val="en-US" w:eastAsia="zh-CN"/>
        </w:rPr>
      </w:pPr>
      <w:r>
        <w:rPr>
          <w:rFonts w:hint="eastAsia" w:ascii="宋体" w:hAnsi="宋体"/>
          <w:sz w:val="28"/>
          <w:szCs w:val="28"/>
          <w:lang w:val="en-US" w:eastAsia="zh-CN"/>
        </w:rPr>
        <w:t xml:space="preserve"> 沧州临港污水处理及中水回用项目潜水搅拌器竞争性谈判技术文件</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lang w:val="en-US" w:eastAsia="zh-CN"/>
        </w:rPr>
        <w:t>一．项目名称:沧州临港污水处理及中水回用项目</w:t>
      </w:r>
    </w:p>
    <w:p>
      <w:p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 建设单位:沧州绿源水处理有限公司</w:t>
      </w:r>
    </w:p>
    <w:p>
      <w:p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 建设地点:沧州临港经济技术开发区东区</w:t>
      </w:r>
    </w:p>
    <w:p>
      <w:pPr>
        <w:spacing w:line="360" w:lineRule="auto"/>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 建设规模：</w:t>
      </w:r>
      <w:r>
        <w:rPr>
          <w:rFonts w:hint="eastAsia" w:ascii="仿宋" w:hAnsi="仿宋" w:eastAsia="仿宋" w:cs="仿宋"/>
          <w:sz w:val="24"/>
          <w:szCs w:val="24"/>
        </w:rPr>
        <w:t>工程占地约</w:t>
      </w:r>
      <w:r>
        <w:rPr>
          <w:rFonts w:hint="eastAsia" w:ascii="仿宋" w:hAnsi="仿宋" w:eastAsia="仿宋" w:cs="仿宋"/>
          <w:sz w:val="24"/>
          <w:szCs w:val="24"/>
          <w:lang w:val="en-US" w:eastAsia="zh-CN"/>
        </w:rPr>
        <w:t>75亩。</w:t>
      </w:r>
    </w:p>
    <w:p>
      <w:pPr>
        <w:numPr>
          <w:ilvl w:val="0"/>
          <w:numId w:val="0"/>
        </w:numPr>
        <w:spacing w:line="360" w:lineRule="auto"/>
        <w:rPr>
          <w:rFonts w:hint="eastAsia"/>
          <w:lang w:val="en-US" w:eastAsia="zh-CN"/>
        </w:rPr>
      </w:pPr>
      <w:r>
        <w:rPr>
          <w:rFonts w:hint="eastAsia" w:ascii="仿宋" w:hAnsi="仿宋" w:eastAsia="仿宋" w:cs="仿宋"/>
          <w:sz w:val="24"/>
          <w:szCs w:val="24"/>
          <w:lang w:val="en-US" w:eastAsia="zh-CN"/>
        </w:rPr>
        <w:t>五． 招标内容：</w:t>
      </w:r>
      <w:r>
        <w:rPr>
          <w:rFonts w:hint="eastAsia"/>
          <w:lang w:val="en-US" w:eastAsia="zh-CN"/>
        </w:rPr>
        <w:t>潜水搅拌器</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六．具体招标范围</w:t>
      </w:r>
    </w:p>
    <w:p>
      <w:pPr>
        <w:numPr>
          <w:ilvl w:val="0"/>
          <w:numId w:val="0"/>
        </w:numPr>
        <w:spacing w:line="360" w:lineRule="auto"/>
        <w:ind w:firstLine="2880" w:firstLineChars="1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设备一览表</w:t>
      </w:r>
    </w:p>
    <w:tbl>
      <w:tblPr>
        <w:tblStyle w:val="4"/>
        <w:tblW w:w="7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907"/>
        <w:gridCol w:w="1179"/>
        <w:gridCol w:w="921"/>
        <w:gridCol w:w="1221"/>
        <w:gridCol w:w="783"/>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trPr>
        <w:tc>
          <w:tcPr>
            <w:tcW w:w="597" w:type="dxa"/>
          </w:tcPr>
          <w:p>
            <w:pPr>
              <w:numPr>
                <w:ilvl w:val="0"/>
                <w:numId w:val="0"/>
              </w:numPr>
              <w:spacing w:line="240" w:lineRule="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1907" w:type="dxa"/>
          </w:tcPr>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名称</w:t>
            </w:r>
          </w:p>
        </w:tc>
        <w:tc>
          <w:tcPr>
            <w:tcW w:w="1179" w:type="dxa"/>
          </w:tcPr>
          <w:p>
            <w:pPr>
              <w:numPr>
                <w:ilvl w:val="0"/>
                <w:numId w:val="0"/>
              </w:numPr>
              <w:spacing w:line="240" w:lineRule="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介质及参数</w:t>
            </w:r>
          </w:p>
        </w:tc>
        <w:tc>
          <w:tcPr>
            <w:tcW w:w="921" w:type="dxa"/>
          </w:tcPr>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规格型号</w:t>
            </w:r>
          </w:p>
        </w:tc>
        <w:tc>
          <w:tcPr>
            <w:tcW w:w="1221" w:type="dxa"/>
          </w:tcPr>
          <w:p>
            <w:pPr>
              <w:numPr>
                <w:ilvl w:val="0"/>
                <w:numId w:val="0"/>
              </w:numPr>
              <w:spacing w:line="240" w:lineRule="auto"/>
              <w:ind w:left="210" w:hanging="210" w:hangingChars="100"/>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安装方式</w:t>
            </w:r>
          </w:p>
        </w:tc>
        <w:tc>
          <w:tcPr>
            <w:tcW w:w="783" w:type="dxa"/>
          </w:tcPr>
          <w:p>
            <w:pPr>
              <w:numPr>
                <w:ilvl w:val="0"/>
                <w:numId w:val="0"/>
              </w:numPr>
              <w:spacing w:line="240" w:lineRule="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配用功率</w:t>
            </w:r>
          </w:p>
        </w:tc>
        <w:tc>
          <w:tcPr>
            <w:tcW w:w="848" w:type="dxa"/>
          </w:tcPr>
          <w:p>
            <w:pPr>
              <w:numPr>
                <w:ilvl w:val="0"/>
                <w:numId w:val="0"/>
              </w:numPr>
              <w:spacing w:line="240" w:lineRule="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597" w:type="dxa"/>
          </w:tcPr>
          <w:p>
            <w:pPr>
              <w:numPr>
                <w:ilvl w:val="0"/>
                <w:numId w:val="0"/>
              </w:numPr>
              <w:spacing w:line="240" w:lineRule="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907" w:type="dxa"/>
          </w:tcPr>
          <w:p>
            <w:pPr>
              <w:numPr>
                <w:ilvl w:val="0"/>
                <w:numId w:val="0"/>
              </w:numPr>
              <w:spacing w:line="240" w:lineRule="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潜水推流搅拌器</w:t>
            </w:r>
          </w:p>
        </w:tc>
        <w:tc>
          <w:tcPr>
            <w:tcW w:w="1179" w:type="dxa"/>
          </w:tcPr>
          <w:p>
            <w:pPr>
              <w:numPr>
                <w:ilvl w:val="0"/>
                <w:numId w:val="0"/>
              </w:numPr>
              <w:spacing w:line="240" w:lineRule="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含盐量：8000mg/L</w:t>
            </w:r>
          </w:p>
          <w:p>
            <w:pPr>
              <w:numPr>
                <w:ilvl w:val="0"/>
                <w:numId w:val="0"/>
              </w:numPr>
              <w:spacing w:line="240" w:lineRule="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氯离子：2000mg/L</w:t>
            </w:r>
          </w:p>
          <w:p>
            <w:pPr>
              <w:numPr>
                <w:ilvl w:val="0"/>
                <w:numId w:val="0"/>
              </w:numPr>
              <w:spacing w:line="240" w:lineRule="auto"/>
              <w:rPr>
                <w:rFonts w:hint="eastAsia" w:ascii="仿宋" w:hAnsi="仿宋" w:eastAsia="仿宋" w:cs="仿宋"/>
                <w:sz w:val="21"/>
                <w:szCs w:val="21"/>
                <w:vertAlign w:val="baseline"/>
                <w:lang w:val="en-US" w:eastAsia="zh-CN"/>
              </w:rPr>
            </w:pPr>
            <w:r>
              <w:rPr>
                <w:rFonts w:hint="eastAsia" w:ascii="仿宋" w:hAnsi="仿宋" w:eastAsia="仿宋" w:cs="仿宋"/>
                <w:sz w:val="18"/>
                <w:szCs w:val="18"/>
                <w:vertAlign w:val="baseline"/>
                <w:lang w:val="en-US" w:eastAsia="zh-CN"/>
              </w:rPr>
              <w:t>PH：6-9</w:t>
            </w:r>
          </w:p>
        </w:tc>
        <w:tc>
          <w:tcPr>
            <w:tcW w:w="921" w:type="dxa"/>
          </w:tcPr>
          <w:p>
            <w:pPr>
              <w:numPr>
                <w:ilvl w:val="0"/>
                <w:numId w:val="0"/>
              </w:numPr>
              <w:spacing w:line="240" w:lineRule="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D=1800mm</w:t>
            </w:r>
          </w:p>
          <w:p>
            <w:pPr>
              <w:numPr>
                <w:ilvl w:val="0"/>
                <w:numId w:val="0"/>
              </w:numPr>
              <w:spacing w:line="240" w:lineRule="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n=45r/min</w:t>
            </w:r>
          </w:p>
        </w:tc>
        <w:tc>
          <w:tcPr>
            <w:tcW w:w="1221" w:type="dxa"/>
          </w:tcPr>
          <w:p>
            <w:pPr>
              <w:numPr>
                <w:ilvl w:val="0"/>
                <w:numId w:val="0"/>
              </w:numPr>
              <w:spacing w:line="240" w:lineRule="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双导轨</w:t>
            </w:r>
          </w:p>
          <w:p>
            <w:pPr>
              <w:numPr>
                <w:ilvl w:val="0"/>
                <w:numId w:val="0"/>
              </w:numPr>
              <w:spacing w:line="240" w:lineRule="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池深5.5米</w:t>
            </w:r>
          </w:p>
        </w:tc>
        <w:tc>
          <w:tcPr>
            <w:tcW w:w="783" w:type="dxa"/>
          </w:tcPr>
          <w:p>
            <w:pPr>
              <w:numPr>
                <w:ilvl w:val="0"/>
                <w:numId w:val="0"/>
              </w:numPr>
              <w:spacing w:line="240" w:lineRule="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IP68 5.5kw</w:t>
            </w:r>
          </w:p>
        </w:tc>
        <w:tc>
          <w:tcPr>
            <w:tcW w:w="848" w:type="dxa"/>
          </w:tcPr>
          <w:p>
            <w:pPr>
              <w:numPr>
                <w:ilvl w:val="0"/>
                <w:numId w:val="0"/>
              </w:numPr>
              <w:spacing w:line="240" w:lineRule="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597" w:type="dxa"/>
          </w:tcPr>
          <w:p>
            <w:pPr>
              <w:numPr>
                <w:ilvl w:val="0"/>
                <w:numId w:val="0"/>
              </w:numPr>
              <w:spacing w:line="240" w:lineRule="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907" w:type="dxa"/>
          </w:tcPr>
          <w:p>
            <w:pPr>
              <w:numPr>
                <w:ilvl w:val="0"/>
                <w:numId w:val="0"/>
              </w:numPr>
              <w:spacing w:line="240" w:lineRule="auto"/>
              <w:rPr>
                <w:rFonts w:hint="eastAsia" w:ascii="仿宋" w:hAnsi="仿宋" w:eastAsia="仿宋" w:cs="仿宋"/>
                <w:sz w:val="24"/>
                <w:szCs w:val="24"/>
                <w:vertAlign w:val="baseline"/>
                <w:lang w:val="en-US" w:eastAsia="zh-CN"/>
              </w:rPr>
            </w:pPr>
            <w:r>
              <w:rPr>
                <w:rFonts w:hint="eastAsia" w:ascii="仿宋" w:hAnsi="仿宋" w:eastAsia="仿宋" w:cs="仿宋"/>
                <w:sz w:val="21"/>
                <w:szCs w:val="21"/>
                <w:vertAlign w:val="baseline"/>
                <w:lang w:val="en-US" w:eastAsia="zh-CN"/>
              </w:rPr>
              <w:t>潜水推流搅拌器</w:t>
            </w:r>
          </w:p>
        </w:tc>
        <w:tc>
          <w:tcPr>
            <w:tcW w:w="1179" w:type="dxa"/>
            <w:vAlign w:val="top"/>
          </w:tcPr>
          <w:p>
            <w:pPr>
              <w:numPr>
                <w:ilvl w:val="0"/>
                <w:numId w:val="0"/>
              </w:numPr>
              <w:spacing w:line="240" w:lineRule="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含盐量：8000mg/L</w:t>
            </w:r>
          </w:p>
          <w:p>
            <w:pPr>
              <w:numPr>
                <w:ilvl w:val="0"/>
                <w:numId w:val="0"/>
              </w:numPr>
              <w:spacing w:line="240" w:lineRule="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氯离子：2000mg/L</w:t>
            </w:r>
          </w:p>
          <w:p>
            <w:pPr>
              <w:numPr>
                <w:ilvl w:val="0"/>
                <w:numId w:val="0"/>
              </w:numPr>
              <w:spacing w:line="240" w:lineRule="auto"/>
              <w:ind w:left="0" w:leftChars="0" w:firstLine="0" w:firstLineChars="0"/>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PH：6-9</w:t>
            </w:r>
          </w:p>
        </w:tc>
        <w:tc>
          <w:tcPr>
            <w:tcW w:w="921" w:type="dxa"/>
          </w:tcPr>
          <w:p>
            <w:pPr>
              <w:numPr>
                <w:ilvl w:val="0"/>
                <w:numId w:val="0"/>
              </w:numPr>
              <w:spacing w:line="240" w:lineRule="auto"/>
              <w:rPr>
                <w:rFonts w:hint="eastAsia" w:ascii="仿宋" w:hAnsi="仿宋" w:eastAsia="仿宋" w:cs="仿宋"/>
                <w:sz w:val="24"/>
                <w:szCs w:val="24"/>
                <w:vertAlign w:val="baseline"/>
                <w:lang w:val="en-US" w:eastAsia="zh-CN"/>
              </w:rPr>
            </w:pPr>
            <w:r>
              <w:rPr>
                <w:rFonts w:hint="eastAsia" w:ascii="仿宋" w:hAnsi="仿宋" w:eastAsia="仿宋" w:cs="仿宋"/>
                <w:sz w:val="21"/>
                <w:szCs w:val="21"/>
                <w:vertAlign w:val="baseline"/>
                <w:lang w:val="en-US" w:eastAsia="zh-CN"/>
              </w:rPr>
              <w:t>D=1800mm n=38r/min</w:t>
            </w:r>
          </w:p>
        </w:tc>
        <w:tc>
          <w:tcPr>
            <w:tcW w:w="1221" w:type="dxa"/>
          </w:tcPr>
          <w:p>
            <w:pPr>
              <w:numPr>
                <w:ilvl w:val="0"/>
                <w:numId w:val="0"/>
              </w:numPr>
              <w:spacing w:line="240" w:lineRule="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双导轨</w:t>
            </w:r>
          </w:p>
          <w:p>
            <w:pPr>
              <w:numPr>
                <w:ilvl w:val="0"/>
                <w:numId w:val="0"/>
              </w:numPr>
              <w:spacing w:line="240" w:lineRule="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池深5.5米</w:t>
            </w:r>
          </w:p>
        </w:tc>
        <w:tc>
          <w:tcPr>
            <w:tcW w:w="783" w:type="dxa"/>
          </w:tcPr>
          <w:p>
            <w:pPr>
              <w:numPr>
                <w:ilvl w:val="0"/>
                <w:numId w:val="0"/>
              </w:numPr>
              <w:spacing w:line="240" w:lineRule="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IP68 </w:t>
            </w:r>
          </w:p>
          <w:p>
            <w:pPr>
              <w:numPr>
                <w:ilvl w:val="0"/>
                <w:numId w:val="0"/>
              </w:numPr>
              <w:spacing w:line="240" w:lineRule="auto"/>
              <w:rPr>
                <w:rFonts w:hint="eastAsia" w:ascii="仿宋" w:hAnsi="仿宋" w:eastAsia="仿宋" w:cs="仿宋"/>
                <w:sz w:val="24"/>
                <w:szCs w:val="24"/>
                <w:vertAlign w:val="baseline"/>
                <w:lang w:val="en-US" w:eastAsia="zh-CN"/>
              </w:rPr>
            </w:pPr>
            <w:r>
              <w:rPr>
                <w:rFonts w:hint="eastAsia" w:ascii="仿宋" w:hAnsi="仿宋" w:eastAsia="仿宋" w:cs="仿宋"/>
                <w:sz w:val="21"/>
                <w:szCs w:val="21"/>
                <w:vertAlign w:val="baseline"/>
                <w:lang w:val="en-US" w:eastAsia="zh-CN"/>
              </w:rPr>
              <w:t>4kw</w:t>
            </w:r>
          </w:p>
        </w:tc>
        <w:tc>
          <w:tcPr>
            <w:tcW w:w="848" w:type="dxa"/>
          </w:tcPr>
          <w:p>
            <w:pPr>
              <w:numPr>
                <w:ilvl w:val="0"/>
                <w:numId w:val="0"/>
              </w:numPr>
              <w:spacing w:line="240" w:lineRule="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7" w:type="dxa"/>
          </w:tcPr>
          <w:p>
            <w:pPr>
              <w:numPr>
                <w:ilvl w:val="0"/>
                <w:numId w:val="0"/>
              </w:numPr>
              <w:spacing w:line="240" w:lineRule="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907" w:type="dxa"/>
            <w:vAlign w:val="top"/>
          </w:tcPr>
          <w:p>
            <w:pPr>
              <w:numPr>
                <w:ilvl w:val="0"/>
                <w:numId w:val="0"/>
              </w:numPr>
              <w:spacing w:line="240" w:lineRule="auto"/>
              <w:ind w:left="0" w:leftChars="0" w:firstLine="0" w:firstLineChars="0"/>
              <w:rPr>
                <w:rFonts w:hint="eastAsia" w:ascii="仿宋" w:hAnsi="仿宋" w:eastAsia="仿宋" w:cs="仿宋"/>
                <w:sz w:val="24"/>
                <w:szCs w:val="24"/>
                <w:vertAlign w:val="baseline"/>
                <w:lang w:val="en-US" w:eastAsia="zh-CN"/>
              </w:rPr>
            </w:pPr>
            <w:r>
              <w:rPr>
                <w:rFonts w:hint="eastAsia" w:ascii="仿宋" w:hAnsi="仿宋" w:eastAsia="仿宋" w:cs="仿宋"/>
                <w:sz w:val="21"/>
                <w:szCs w:val="21"/>
                <w:vertAlign w:val="baseline"/>
                <w:lang w:val="en-US" w:eastAsia="zh-CN"/>
              </w:rPr>
              <w:t>潜水推流搅拌器</w:t>
            </w:r>
          </w:p>
        </w:tc>
        <w:tc>
          <w:tcPr>
            <w:tcW w:w="1179" w:type="dxa"/>
            <w:vAlign w:val="top"/>
          </w:tcPr>
          <w:p>
            <w:pPr>
              <w:numPr>
                <w:ilvl w:val="0"/>
                <w:numId w:val="0"/>
              </w:numPr>
              <w:spacing w:line="240" w:lineRule="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含盐量：8000mg/L</w:t>
            </w:r>
          </w:p>
          <w:p>
            <w:pPr>
              <w:numPr>
                <w:ilvl w:val="0"/>
                <w:numId w:val="0"/>
              </w:numPr>
              <w:spacing w:line="240" w:lineRule="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氯离子：2000mg/L</w:t>
            </w:r>
          </w:p>
          <w:p>
            <w:pPr>
              <w:numPr>
                <w:ilvl w:val="0"/>
                <w:numId w:val="0"/>
              </w:numPr>
              <w:spacing w:line="240" w:lineRule="auto"/>
              <w:ind w:left="0" w:leftChars="0" w:firstLine="0" w:firstLineChars="0"/>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PH：6-9</w:t>
            </w:r>
          </w:p>
        </w:tc>
        <w:tc>
          <w:tcPr>
            <w:tcW w:w="921" w:type="dxa"/>
            <w:vAlign w:val="top"/>
          </w:tcPr>
          <w:p>
            <w:pPr>
              <w:numPr>
                <w:ilvl w:val="0"/>
                <w:numId w:val="0"/>
              </w:numPr>
              <w:spacing w:line="240" w:lineRule="auto"/>
              <w:ind w:left="0" w:leftChars="0" w:firstLine="0" w:firstLineChars="0"/>
              <w:rPr>
                <w:rFonts w:hint="eastAsia" w:ascii="仿宋" w:hAnsi="仿宋" w:eastAsia="仿宋" w:cs="仿宋"/>
                <w:sz w:val="24"/>
                <w:szCs w:val="24"/>
                <w:vertAlign w:val="baseline"/>
                <w:lang w:val="en-US" w:eastAsia="zh-CN"/>
              </w:rPr>
            </w:pPr>
            <w:r>
              <w:rPr>
                <w:rFonts w:hint="eastAsia" w:ascii="仿宋" w:hAnsi="仿宋" w:eastAsia="仿宋" w:cs="仿宋"/>
                <w:sz w:val="21"/>
                <w:szCs w:val="21"/>
                <w:vertAlign w:val="baseline"/>
                <w:lang w:val="en-US" w:eastAsia="zh-CN"/>
              </w:rPr>
              <w:t>D=1400mm n=64r/min</w:t>
            </w:r>
          </w:p>
        </w:tc>
        <w:tc>
          <w:tcPr>
            <w:tcW w:w="1221" w:type="dxa"/>
          </w:tcPr>
          <w:p>
            <w:pPr>
              <w:numPr>
                <w:ilvl w:val="0"/>
                <w:numId w:val="0"/>
              </w:numPr>
              <w:spacing w:line="240" w:lineRule="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双导轨</w:t>
            </w:r>
          </w:p>
          <w:p>
            <w:pPr>
              <w:numPr>
                <w:ilvl w:val="0"/>
                <w:numId w:val="0"/>
              </w:numPr>
              <w:spacing w:line="240" w:lineRule="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池深5.5米</w:t>
            </w:r>
          </w:p>
        </w:tc>
        <w:tc>
          <w:tcPr>
            <w:tcW w:w="783" w:type="dxa"/>
            <w:vAlign w:val="top"/>
          </w:tcPr>
          <w:p>
            <w:pPr>
              <w:numPr>
                <w:ilvl w:val="0"/>
                <w:numId w:val="0"/>
              </w:numPr>
              <w:spacing w:line="240" w:lineRule="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IP68 </w:t>
            </w:r>
          </w:p>
          <w:p>
            <w:pPr>
              <w:numPr>
                <w:ilvl w:val="0"/>
                <w:numId w:val="0"/>
              </w:numPr>
              <w:spacing w:line="240" w:lineRule="auto"/>
              <w:ind w:left="0" w:leftChars="0" w:firstLine="0" w:firstLineChars="0"/>
              <w:rPr>
                <w:rFonts w:hint="eastAsia" w:ascii="仿宋" w:hAnsi="仿宋" w:eastAsia="仿宋" w:cs="仿宋"/>
                <w:sz w:val="24"/>
                <w:szCs w:val="24"/>
                <w:vertAlign w:val="baseline"/>
                <w:lang w:val="en-US" w:eastAsia="zh-CN"/>
              </w:rPr>
            </w:pPr>
            <w:r>
              <w:rPr>
                <w:rFonts w:hint="eastAsia" w:ascii="仿宋" w:hAnsi="仿宋" w:eastAsia="仿宋" w:cs="仿宋"/>
                <w:sz w:val="21"/>
                <w:szCs w:val="21"/>
                <w:vertAlign w:val="baseline"/>
                <w:lang w:val="en-US" w:eastAsia="zh-CN"/>
              </w:rPr>
              <w:t>4kw</w:t>
            </w:r>
          </w:p>
        </w:tc>
        <w:tc>
          <w:tcPr>
            <w:tcW w:w="848" w:type="dxa"/>
          </w:tcPr>
          <w:p>
            <w:pPr>
              <w:numPr>
                <w:ilvl w:val="0"/>
                <w:numId w:val="0"/>
              </w:numPr>
              <w:spacing w:line="240" w:lineRule="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7" w:type="dxa"/>
          </w:tcPr>
          <w:p>
            <w:pPr>
              <w:numPr>
                <w:ilvl w:val="0"/>
                <w:numId w:val="0"/>
              </w:numPr>
              <w:spacing w:line="240" w:lineRule="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907" w:type="dxa"/>
          </w:tcPr>
          <w:p>
            <w:pPr>
              <w:numPr>
                <w:ilvl w:val="0"/>
                <w:numId w:val="0"/>
              </w:numPr>
              <w:spacing w:line="240" w:lineRule="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潜水搅拌机</w:t>
            </w:r>
          </w:p>
        </w:tc>
        <w:tc>
          <w:tcPr>
            <w:tcW w:w="1179" w:type="dxa"/>
            <w:vAlign w:val="top"/>
          </w:tcPr>
          <w:p>
            <w:pPr>
              <w:numPr>
                <w:ilvl w:val="0"/>
                <w:numId w:val="0"/>
              </w:numPr>
              <w:spacing w:line="240" w:lineRule="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含盐量：8000mg/L</w:t>
            </w:r>
          </w:p>
          <w:p>
            <w:pPr>
              <w:numPr>
                <w:ilvl w:val="0"/>
                <w:numId w:val="0"/>
              </w:numPr>
              <w:spacing w:line="240" w:lineRule="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氯离子：2000mg/L</w:t>
            </w:r>
          </w:p>
          <w:p>
            <w:pPr>
              <w:numPr>
                <w:ilvl w:val="0"/>
                <w:numId w:val="0"/>
              </w:numPr>
              <w:spacing w:line="240" w:lineRule="auto"/>
              <w:ind w:left="0" w:leftChars="0" w:firstLine="0" w:firstLineChars="0"/>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PH：6-9</w:t>
            </w:r>
          </w:p>
        </w:tc>
        <w:tc>
          <w:tcPr>
            <w:tcW w:w="921" w:type="dxa"/>
            <w:vAlign w:val="top"/>
          </w:tcPr>
          <w:p>
            <w:pPr>
              <w:numPr>
                <w:ilvl w:val="0"/>
                <w:numId w:val="0"/>
              </w:numPr>
              <w:spacing w:line="240" w:lineRule="auto"/>
              <w:ind w:left="0" w:leftChars="0" w:firstLine="0" w:firstLineChars="0"/>
              <w:rPr>
                <w:rFonts w:hint="eastAsia" w:ascii="仿宋" w:hAnsi="仿宋" w:eastAsia="仿宋" w:cs="仿宋"/>
                <w:sz w:val="24"/>
                <w:szCs w:val="24"/>
                <w:vertAlign w:val="baseline"/>
                <w:lang w:val="en-US" w:eastAsia="zh-CN"/>
              </w:rPr>
            </w:pPr>
            <w:r>
              <w:rPr>
                <w:rFonts w:hint="eastAsia" w:ascii="仿宋" w:hAnsi="仿宋" w:eastAsia="仿宋" w:cs="仿宋"/>
                <w:sz w:val="21"/>
                <w:szCs w:val="21"/>
                <w:vertAlign w:val="baseline"/>
                <w:lang w:val="en-US" w:eastAsia="zh-CN"/>
              </w:rPr>
              <w:t>D=325mm n=720r/min</w:t>
            </w:r>
          </w:p>
        </w:tc>
        <w:tc>
          <w:tcPr>
            <w:tcW w:w="1221" w:type="dxa"/>
          </w:tcPr>
          <w:p>
            <w:pPr>
              <w:numPr>
                <w:ilvl w:val="0"/>
                <w:numId w:val="0"/>
              </w:numPr>
              <w:spacing w:line="240" w:lineRule="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单导轨可调150度</w:t>
            </w:r>
          </w:p>
          <w:p>
            <w:pPr>
              <w:numPr>
                <w:ilvl w:val="0"/>
                <w:numId w:val="0"/>
              </w:numPr>
              <w:spacing w:line="240" w:lineRule="auto"/>
              <w:rPr>
                <w:rFonts w:hint="eastAsia" w:ascii="仿宋" w:hAnsi="仿宋" w:eastAsia="仿宋" w:cs="仿宋"/>
                <w:sz w:val="24"/>
                <w:szCs w:val="24"/>
                <w:vertAlign w:val="baseline"/>
                <w:lang w:val="en-US" w:eastAsia="zh-CN"/>
              </w:rPr>
            </w:pPr>
            <w:r>
              <w:rPr>
                <w:rFonts w:hint="eastAsia" w:ascii="仿宋" w:hAnsi="仿宋" w:eastAsia="仿宋" w:cs="仿宋"/>
                <w:sz w:val="21"/>
                <w:szCs w:val="21"/>
                <w:vertAlign w:val="baseline"/>
                <w:lang w:val="en-US" w:eastAsia="zh-CN"/>
              </w:rPr>
              <w:t>池深5.5米</w:t>
            </w:r>
          </w:p>
        </w:tc>
        <w:tc>
          <w:tcPr>
            <w:tcW w:w="783" w:type="dxa"/>
            <w:vAlign w:val="top"/>
          </w:tcPr>
          <w:p>
            <w:pPr>
              <w:numPr>
                <w:ilvl w:val="0"/>
                <w:numId w:val="0"/>
              </w:numPr>
              <w:spacing w:line="240" w:lineRule="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IP68 </w:t>
            </w:r>
          </w:p>
          <w:p>
            <w:pPr>
              <w:numPr>
                <w:ilvl w:val="0"/>
                <w:numId w:val="0"/>
              </w:numPr>
              <w:spacing w:line="240" w:lineRule="auto"/>
              <w:ind w:left="0" w:leftChars="0" w:firstLine="0" w:firstLineChars="0"/>
              <w:rPr>
                <w:rFonts w:hint="eastAsia" w:ascii="仿宋" w:hAnsi="仿宋" w:eastAsia="仿宋" w:cs="仿宋"/>
                <w:sz w:val="24"/>
                <w:szCs w:val="24"/>
                <w:vertAlign w:val="baseline"/>
                <w:lang w:val="en-US" w:eastAsia="zh-CN"/>
              </w:rPr>
            </w:pPr>
            <w:r>
              <w:rPr>
                <w:rFonts w:hint="eastAsia" w:ascii="仿宋" w:hAnsi="仿宋" w:eastAsia="仿宋" w:cs="仿宋"/>
                <w:sz w:val="21"/>
                <w:szCs w:val="21"/>
                <w:vertAlign w:val="baseline"/>
                <w:lang w:val="en-US" w:eastAsia="zh-CN"/>
              </w:rPr>
              <w:t>2.2kw</w:t>
            </w:r>
          </w:p>
        </w:tc>
        <w:tc>
          <w:tcPr>
            <w:tcW w:w="848" w:type="dxa"/>
          </w:tcPr>
          <w:p>
            <w:pPr>
              <w:numPr>
                <w:ilvl w:val="0"/>
                <w:numId w:val="0"/>
              </w:numPr>
              <w:spacing w:line="240" w:lineRule="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r>
    </w:tbl>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七．详细技术参数要求：</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1.导轨及搅拌机固定支架采用316L材质。</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2.设备一览表中序号1、2、3、4项中电机均采用潜水型（投标方需标注制造厂及品牌）；序号1、2、3项中减速机采用行星摆线减速机，电机、减速机外壳材质为铸铁，桨叶为钢衬玻璃钢防腐；序号4项中的电机、减速机外壳及桨叶全部采用316L材质；</w:t>
      </w:r>
    </w:p>
    <w:p>
      <w:pPr>
        <w:numPr>
          <w:ilvl w:val="0"/>
          <w:numId w:val="1"/>
        </w:numPr>
        <w:spacing w:line="360" w:lineRule="auto"/>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所有的连接螺栓均采用316L材质；</w:t>
      </w:r>
    </w:p>
    <w:p>
      <w:pPr>
        <w:numPr>
          <w:ilvl w:val="0"/>
          <w:numId w:val="1"/>
        </w:numPr>
        <w:spacing w:line="360" w:lineRule="auto"/>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机械密封均选用耐磨耐腐蚀材质；</w:t>
      </w:r>
    </w:p>
    <w:p>
      <w:pPr>
        <w:numPr>
          <w:ilvl w:val="0"/>
          <w:numId w:val="1"/>
        </w:numPr>
        <w:spacing w:line="360" w:lineRule="auto"/>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以上各主要部件均采用正规厂家生产，同行业知名度较高、信誉度较好的产品。</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6.供货方需在合同签订七日内为采购方提供设备外形尺寸图、安装图、基础图。</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7.乙方须负责安排专人现场指导安装。</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8.其他不详尽之参数参照设计院提供设备数据表。</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八．对投标单位及投标文件的要求:</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1. 企业简介</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2. 营业执照复印件（盖公章）</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3.法人身份证复印件及</w:t>
      </w:r>
      <w:bookmarkStart w:id="0" w:name="_GoBack"/>
      <w:bookmarkEnd w:id="0"/>
      <w:r>
        <w:rPr>
          <w:rFonts w:hint="eastAsia" w:ascii="仿宋" w:hAnsi="仿宋" w:eastAsia="仿宋" w:cs="仿宋"/>
          <w:sz w:val="24"/>
          <w:szCs w:val="24"/>
          <w:lang w:val="en-US" w:eastAsia="zh-CN"/>
        </w:rPr>
        <w:t>代理人身份证复印件（盖公章）</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4.代理人委托书。</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5. 主要业绩（三年内同等规模）（盖公章）</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6. 一年内销售合同（复印件盖公章）。</w:t>
      </w:r>
    </w:p>
    <w:p>
      <w:pPr>
        <w:numPr>
          <w:ilvl w:val="0"/>
          <w:numId w:val="0"/>
        </w:numPr>
        <w:spacing w:line="360" w:lineRule="auto"/>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7.投标书中需包含有投标方对所投标设备的检验、试验及验收标准的详细叙述。</w:t>
      </w:r>
    </w:p>
    <w:p>
      <w:pPr>
        <w:numPr>
          <w:ilvl w:val="0"/>
          <w:numId w:val="0"/>
        </w:numPr>
        <w:spacing w:line="360" w:lineRule="auto"/>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8.投标书中需包含有投标方对所投标设备的的设备性能保证方案的详细叙述，至少包括以下两项：</w:t>
      </w:r>
    </w:p>
    <w:p>
      <w:pPr>
        <w:numPr>
          <w:ilvl w:val="0"/>
          <w:numId w:val="0"/>
        </w:numPr>
        <w:spacing w:line="360" w:lineRule="auto"/>
        <w:ind w:firstLine="1200" w:firstLineChars="5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1）.加工制作工艺方案       2). 质量保证方案</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9.投标单位可以在甲方提供的设计数据基础上，提前与甲方沟通，征得甲方技术人员同意，优化方案，但必须满足相关国家或行业标准、规范。</w:t>
      </w:r>
    </w:p>
    <w:p>
      <w:pPr>
        <w:numPr>
          <w:ilvl w:val="0"/>
          <w:numId w:val="0"/>
        </w:numPr>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10.甲方从相关投标方中选择质量有保证、价格合适、既节能又经济的方案与供货方合作。</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九．设备的质保及服务内容</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十．需报出设备的制作周期及交货方式</w:t>
      </w:r>
    </w:p>
    <w:p>
      <w:pPr>
        <w:numPr>
          <w:ilvl w:val="0"/>
          <w:numId w:val="0"/>
        </w:numPr>
        <w:spacing w:line="360" w:lineRule="auto"/>
        <w:rPr>
          <w:rFonts w:hint="eastAsia" w:ascii="仿宋" w:hAnsi="仿宋" w:eastAsia="仿宋" w:cs="仿宋"/>
          <w:sz w:val="24"/>
          <w:szCs w:val="24"/>
          <w:lang w:val="en-US" w:eastAsia="zh-CN"/>
        </w:rPr>
      </w:pP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沧州绿源水处理有限公司</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2017.10.17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57500"/>
    <w:multiLevelType w:val="singleLevel"/>
    <w:tmpl w:val="59E57500"/>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23393"/>
    <w:rsid w:val="19F4034B"/>
    <w:rsid w:val="1DCD0DD6"/>
    <w:rsid w:val="323E1326"/>
    <w:rsid w:val="3C946229"/>
    <w:rsid w:val="44575194"/>
    <w:rsid w:val="58B8213D"/>
    <w:rsid w:val="5BD61D5D"/>
    <w:rsid w:val="60521F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dc:creator>
  <cp:lastModifiedBy>zhao</cp:lastModifiedBy>
  <cp:lastPrinted>2017-10-17T03:18:00Z</cp:lastPrinted>
  <dcterms:modified xsi:type="dcterms:W3CDTF">2017-10-19T03:48:02Z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